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304"/>
        <w:ind w:left="5670" w:hanging="6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Приложение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 w:hanging="6"/>
        <w:jc w:val="both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              к приказу ПАО </w:t>
      </w:r>
      <w:r>
        <w:rPr>
          <w:color w:val="000000"/>
          <w:sz w:val="24"/>
          <w:szCs w:val="24"/>
        </w:rPr>
        <w:t xml:space="preserve">«Россети                          </w:t>
        <w:tab/>
        <w:t xml:space="preserve">    Московский регион»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              от ___________ № 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_____________________________________________________________, с одной стороны,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0"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________________________________________, действующего на основании ______________________</w:t>
      </w:r>
      <w:r>
        <w:rPr>
          <w:rStyle w:val="2375"/>
          <w:sz w:val="24"/>
          <w:szCs w:val="24"/>
        </w:rPr>
        <w:footnoteReference w:id="2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2375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(Приложение № 1),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Предельная цена</w:t>
      </w:r>
      <w:r>
        <w:rPr>
          <w:rStyle w:val="2375"/>
          <w:sz w:val="24"/>
          <w:szCs w:val="24"/>
        </w:rPr>
        <w:footnoteReference w:id="4"/>
      </w:r>
      <w:r>
        <w:rPr>
          <w:sz w:val="24"/>
          <w:szCs w:val="24"/>
        </w:rPr>
        <w:t xml:space="preserve">/Цена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2375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2375"/>
          <w:sz w:val="24"/>
          <w:szCs w:val="24"/>
        </w:rPr>
        <w:footnoteReference w:id="6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Приложении № </w:t>
      </w:r>
      <w:r>
        <w:rPr>
          <w:sz w:val="24"/>
          <w:szCs w:val="24"/>
        </w:rPr>
        <w:t xml:space="preserve">2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8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2375"/>
          <w:i/>
          <w:sz w:val="24"/>
          <w:szCs w:val="24"/>
        </w:rPr>
        <w:footnoteReference w:id="7"/>
      </w:r>
      <w:r>
        <w:rPr>
          <w:i/>
          <w:sz w:val="24"/>
          <w:szCs w:val="24"/>
        </w:rPr>
        <w:t xml:space="preserve">.</w:t>
        <w:tab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0" w:name="_Ref157416580"/>
      <w:r>
        <w:rPr>
          <w:i/>
          <w:sz w:val="24"/>
          <w:szCs w:val="24"/>
        </w:rPr>
        <w:t xml:space="preserve">2.</w:t>
      </w:r>
      <w:r>
        <w:rPr>
          <w:i/>
          <w:sz w:val="24"/>
          <w:szCs w:val="24"/>
        </w:rPr>
        <w:t xml:space="preserve">2</w:t>
      </w:r>
      <w:r>
        <w:rPr>
          <w:i/>
          <w:sz w:val="24"/>
          <w:szCs w:val="24"/>
        </w:rPr>
        <w:t xml:space="preserve">.</w:t>
      </w:r>
      <w:bookmarkEnd w:id="0"/>
      <w:r>
        <w:rPr>
          <w:rStyle w:val="2375"/>
          <w:sz w:val="24"/>
          <w:szCs w:val="24"/>
        </w:rPr>
        <w:footnoteReference w:id="8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2375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2375"/>
          <w:i/>
          <w:sz w:val="24"/>
          <w:szCs w:val="24"/>
        </w:rPr>
        <w:footnoteReference w:id="10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r>
        <w:rPr>
          <w:sz w:val="24"/>
          <w:szCs w:val="24"/>
        </w:rPr>
        <w:t xml:space="preserve">акта сдачи-приемки оказанных услуг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rStyle w:val="2375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2375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2375"/>
          <w:b/>
          <w:i/>
          <w:sz w:val="24"/>
          <w:szCs w:val="24"/>
        </w:rPr>
        <w:footnoteReference w:id="13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2375"/>
          <w:i/>
          <w:sz w:val="24"/>
          <w:szCs w:val="24"/>
        </w:rPr>
        <w:footnoteReference w:id="14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</w:t>
      </w:r>
      <w:r>
        <w:rPr>
          <w:i/>
          <w:sz w:val="24"/>
          <w:szCs w:val="24"/>
        </w:rPr>
        <w:t xml:space="preserve">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</w:t>
      </w:r>
      <w:r>
        <w:rPr>
          <w:i/>
          <w:sz w:val="24"/>
          <w:szCs w:val="24"/>
        </w:rPr>
        <w:t xml:space="preserve">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</w:t>
      </w:r>
      <w:r>
        <w:rPr>
          <w:i/>
          <w:sz w:val="24"/>
          <w:szCs w:val="24"/>
        </w:rPr>
        <w:t xml:space="preserve">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71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  <w:br w:type="textWrapping" w:clear="all"/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 xml:space="preserve">опционная премия по настоящему Договору не предусмотрена</w:t>
      </w:r>
      <w:r>
        <w:rPr>
          <w:sz w:val="24"/>
          <w:szCs w:val="24"/>
        </w:rPr>
        <w:t xml:space="preserve">.</w:t>
      </w:r>
      <w:r>
        <w:rPr>
          <w:rStyle w:val="2375"/>
          <w:sz w:val="24"/>
          <w:szCs w:val="24"/>
        </w:rPr>
        <w:footnoteReference w:id="15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Style w:val="2375"/>
          <w:sz w:val="24"/>
          <w:szCs w:val="24"/>
        </w:rPr>
        <w:footnoteReference w:id="1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</w:t>
      </w:r>
      <w:r>
        <w:rPr>
          <w:sz w:val="24"/>
          <w:szCs w:val="24"/>
        </w:rPr>
        <w:t xml:space="preserve">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</w:t>
      </w:r>
      <w:r>
        <w:rPr>
          <w:sz w:val="24"/>
          <w:szCs w:val="24"/>
        </w:rPr>
        <w:t xml:space="preserve">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</w:t>
      </w:r>
      <w:r>
        <w:rPr>
          <w:rFonts w:eastAsia="Calibri"/>
          <w:sz w:val="24"/>
          <w:szCs w:val="24"/>
          <w:highlight w:val="yellow"/>
          <w:lang w:eastAsia="en-US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19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71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</w:t>
      </w:r>
      <w:r>
        <w:rPr>
          <w:i/>
          <w:sz w:val="24"/>
          <w:szCs w:val="24"/>
        </w:rPr>
        <w:t xml:space="preserve">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2375"/>
          <w:i/>
          <w:sz w:val="24"/>
          <w:szCs w:val="24"/>
        </w:rPr>
        <w:footnoteReference w:id="17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2375"/>
          <w:i/>
          <w:sz w:val="24"/>
          <w:szCs w:val="24"/>
        </w:rPr>
        <w:footnoteReference w:id="18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2375"/>
          <w:i/>
          <w:sz w:val="24"/>
          <w:szCs w:val="24"/>
        </w:rPr>
        <w:footnoteReference w:id="1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Договору. Ис</w:t>
      </w:r>
      <w:r>
        <w:rPr>
          <w:sz w:val="24"/>
          <w:szCs w:val="24"/>
        </w:rPr>
        <w:t xml:space="preserve">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</w:t>
      </w:r>
      <w:r>
        <w:rPr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Style w:val="2375"/>
          <w:sz w:val="24"/>
          <w:szCs w:val="24"/>
        </w:rPr>
        <w:footnoteReference w:id="2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Style w:val="2375"/>
          <w:sz w:val="24"/>
          <w:szCs w:val="24"/>
        </w:rPr>
        <w:footnoteReference w:id="21"/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2375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2375"/>
          <w:i/>
          <w:sz w:val="24"/>
          <w:szCs w:val="24"/>
        </w:rPr>
        <w:footnoteReference w:id="23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>
        <w:rPr>
          <w:rStyle w:val="2375"/>
          <w:i/>
          <w:sz w:val="24"/>
          <w:szCs w:val="24"/>
        </w:rPr>
        <w:footnoteReference w:id="24"/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2375"/>
          <w:sz w:val="24"/>
          <w:szCs w:val="24"/>
        </w:rPr>
        <w:footnoteReference w:id="2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2375"/>
          <w:i/>
          <w:sz w:val="24"/>
          <w:szCs w:val="24"/>
        </w:rPr>
        <w:footnoteReference w:id="2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rStyle w:val="2375"/>
          <w:i/>
          <w:sz w:val="24"/>
          <w:szCs w:val="24"/>
        </w:rPr>
        <w:footnoteReference w:id="2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Представлять Заказчику: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1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 полной цепочке собственников Исполнителя, включая конечных бенефициаров, а также о составе испол</w:t>
      </w:r>
      <w:r>
        <w:rPr>
          <w:sz w:val="24"/>
        </w:rPr>
        <w:t xml:space="preserve">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>
        <w:rPr>
          <w:rStyle w:val="2375"/>
          <w:sz w:val="24"/>
        </w:rPr>
        <w:footnoteReference w:id="28"/>
      </w:r>
      <w:r>
        <w:rPr>
          <w:sz w:val="24"/>
        </w:rPr>
        <w:t xml:space="preserve"> к настоящему договору;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 привлечении Исполнителем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</w:t>
      </w:r>
      <w:r>
        <w:rPr>
          <w:sz w:val="24"/>
        </w:rPr>
        <w:t xml:space="preserve">чки собственников третьих лиц (соисполнителей и субподрядчиков),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>
        <w:rPr>
          <w:rStyle w:val="2375"/>
          <w:sz w:val="24"/>
        </w:rPr>
        <w:footnoteReference w:id="29"/>
      </w:r>
      <w:r>
        <w:rPr>
          <w:sz w:val="24"/>
        </w:rPr>
        <w:t xml:space="preserve"> к настоящему договору;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 (соисполнителей и субподрядчиков), привлеченных Исполнителем </w:t>
      </w:r>
      <w:r>
        <w:rPr>
          <w:sz w:val="24"/>
        </w:rPr>
        <w:t xml:space="preserve"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</w:t>
      </w:r>
      <w:r>
        <w:rPr>
          <w:sz w:val="24"/>
        </w:rPr>
        <w:t xml:space="preserve">их лиц (соисполнителей и субподрядчиков),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>
        <w:rPr>
          <w:rStyle w:val="2375"/>
          <w:sz w:val="24"/>
        </w:rPr>
        <w:footnoteReference w:id="30"/>
      </w:r>
      <w:r>
        <w:rPr>
          <w:sz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sz w:val="24"/>
        </w:rPr>
      </w:r>
      <w:r>
        <w:rPr>
          <w:sz w:val="24"/>
        </w:rPr>
      </w:r>
    </w:p>
    <w:p>
      <w:pPr>
        <w:pStyle w:val="2304"/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</w:t>
      </w:r>
      <w:r>
        <w:rPr>
          <w:sz w:val="24"/>
        </w:rPr>
        <w:t xml:space="preserve">казанной информацией оформленных в соответствии с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>
        <w:rPr>
          <w:rStyle w:val="2375"/>
          <w:sz w:val="24"/>
        </w:rPr>
        <w:footnoteReference w:id="31"/>
      </w:r>
      <w:r>
        <w:rPr>
          <w:sz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т.ч.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Приложением № 7</w:t>
      </w:r>
      <w:r>
        <w:rPr>
          <w:sz w:val="24"/>
          <w:szCs w:val="24"/>
        </w:rPr>
        <w:t xml:space="preserve"> к настоящему Договору</w:t>
      </w:r>
      <w:r>
        <w:rPr>
          <w:rStyle w:val="2375"/>
          <w:sz w:val="24"/>
          <w:szCs w:val="24"/>
        </w:rPr>
        <w:footnoteReference w:id="32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</w:t>
      </w:r>
      <w:r>
        <w:rPr>
          <w:sz w:val="24"/>
          <w:szCs w:val="24"/>
        </w:rPr>
        <w:t xml:space="preserve">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</w:t>
      </w:r>
      <w:r>
        <w:rPr>
          <w:sz w:val="24"/>
          <w:szCs w:val="24"/>
        </w:rPr>
        <w:t xml:space="preserve">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</w:t>
      </w:r>
      <w:r>
        <w:rPr>
          <w:sz w:val="24"/>
          <w:szCs w:val="24"/>
        </w:rPr>
        <w:t xml:space="preserve">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</w:t>
      </w:r>
      <w:r>
        <w:rPr>
          <w:sz w:val="24"/>
          <w:szCs w:val="24"/>
        </w:rPr>
        <w:t xml:space="preserve">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</w:t>
      </w:r>
      <w:r>
        <w:rPr>
          <w:sz w:val="24"/>
          <w:szCs w:val="24"/>
        </w:rPr>
        <w:t xml:space="preserve">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</w:t>
      </w:r>
      <w:r>
        <w:rPr>
          <w:sz w:val="24"/>
          <w:szCs w:val="24"/>
        </w:rPr>
        <w:t xml:space="preserve">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ответственность за их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2375"/>
          <w:sz w:val="24"/>
          <w:szCs w:val="24"/>
        </w:rPr>
        <w:footnoteReference w:id="33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</w:t>
      </w:r>
      <w:r>
        <w:rPr>
          <w:sz w:val="24"/>
          <w:szCs w:val="24"/>
        </w:rPr>
        <w:t xml:space="preserve">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>
        <w:rPr>
          <w:sz w:val="24"/>
          <w:vertAlign w:val="superscript"/>
        </w:rPr>
        <w:footnoteReference w:id="34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</w:t>
      </w:r>
      <w:r>
        <w:rPr>
          <w:sz w:val="24"/>
          <w:szCs w:val="24"/>
        </w:rPr>
        <w:t xml:space="preserve">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spacing w:val="-4"/>
          <w:sz w:val="24"/>
          <w:vertAlign w:val="superscript"/>
        </w:rPr>
        <w:footnoteReference w:id="35"/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непредоставление полностью или ча</w:t>
      </w:r>
      <w:r>
        <w:rPr>
          <w:sz w:val="24"/>
          <w:szCs w:val="24"/>
        </w:rPr>
        <w:t xml:space="preserve">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</w:t>
      </w:r>
      <w:r>
        <w:rPr>
          <w:sz w:val="24"/>
          <w:szCs w:val="24"/>
        </w:rPr>
        <w:t xml:space="preserve">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</w:t>
      </w:r>
      <w:r>
        <w:rPr>
          <w:sz w:val="24"/>
          <w:szCs w:val="24"/>
        </w:rPr>
        <w:t xml:space="preserve">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</w:t>
      </w:r>
      <w:r>
        <w:rPr>
          <w:sz w:val="24"/>
          <w:szCs w:val="24"/>
        </w:rPr>
        <w:t xml:space="preserve">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</w:t>
      </w:r>
      <w:r>
        <w:rPr>
          <w:sz w:val="24"/>
          <w:szCs w:val="24"/>
        </w:rPr>
        <w:t xml:space="preserve">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</w:t>
      </w:r>
      <w:r>
        <w:rPr>
          <w:sz w:val="24"/>
          <w:szCs w:val="24"/>
        </w:rPr>
        <w:t xml:space="preserve">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</w:t>
      </w:r>
      <w:r>
        <w:rPr>
          <w:sz w:val="24"/>
          <w:szCs w:val="24"/>
        </w:rPr>
        <w:t xml:space="preserve">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</w:t>
      </w:r>
      <w:r>
        <w:rPr>
          <w:sz w:val="24"/>
          <w:szCs w:val="24"/>
        </w:rPr>
        <w:t xml:space="preserve">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</w:t>
      </w:r>
      <w:r>
        <w:rPr>
          <w:sz w:val="24"/>
          <w:szCs w:val="24"/>
        </w:rPr>
        <w:t xml:space="preserve">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</w:t>
      </w:r>
      <w:r>
        <w:rPr>
          <w:sz w:val="24"/>
          <w:szCs w:val="24"/>
        </w:rPr>
        <w:t xml:space="preserve">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2375"/>
          <w:sz w:val="24"/>
          <w:szCs w:val="24"/>
        </w:rPr>
        <w:footnoteReference w:id="36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i/>
          <w:sz w:val="24"/>
          <w:szCs w:val="24"/>
        </w:rPr>
        <w:t xml:space="preserve"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sz w:val="24"/>
          <w:szCs w:val="24"/>
        </w:rPr>
        <w:t xml:space="preserve">).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39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rStyle w:val="2375"/>
          <w:spacing w:val="1"/>
          <w:sz w:val="24"/>
          <w:szCs w:val="24"/>
        </w:rPr>
        <w:footnoteReference w:id="37"/>
      </w: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  <w:br w:type="textWrapping" w:clear="all"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7.1.1. 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szCs w:val="24"/>
          <w:vertAlign w:val="superscript"/>
        </w:rPr>
        <w:footnoteReference w:id="38"/>
      </w:r>
      <w:r>
        <w:rPr>
          <w:sz w:val="24"/>
          <w:szCs w:val="24"/>
        </w:rPr>
        <w:t xml:space="preserve">, являются действительными и достоверными.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и гарантирует,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rStyle w:val="2375"/>
          <w:sz w:val="24"/>
          <w:szCs w:val="24"/>
        </w:rPr>
        <w:footnoteReference w:id="39"/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2375"/>
          <w:sz w:val="24"/>
          <w:szCs w:val="24"/>
        </w:rPr>
        <w:footnoteReference w:id="4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-отражает реквизиты прослеживаемости товаров в первичных документах и счетах-фактурах,выставленных Заказчику, в соответствии с требованиями законодательства, в случае поставки товаров, подлежащих прослеживаемости,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-информирует Заказчика о признании Исполнителя банкротом, в срок не позднее 10(десяти) рабочих дней, с даты вступления в законную силу решения арбитражного суда.</w:t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-4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Исполнителю известно, что Заказчик в своей деятельности р</w:t>
      </w:r>
      <w:r>
        <w:rPr>
          <w:spacing w:val="-4"/>
          <w:sz w:val="24"/>
          <w:szCs w:val="24"/>
        </w:rPr>
        <w:t xml:space="preserve">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</w:t>
      </w:r>
      <w:r>
        <w:rPr>
          <w:sz w:val="24"/>
          <w:szCs w:val="24"/>
        </w:rPr>
        <w:t xml:space="preserve">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sz w:val="24"/>
          <w:szCs w:val="24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212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</w:t>
      </w:r>
      <w:r>
        <w:rPr>
          <w:sz w:val="24"/>
          <w:szCs w:val="24"/>
        </w:rPr>
        <w:t xml:space="preserve">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 25.05.2015 № 2087),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>
        <w:rPr>
          <w:spacing w:val="-4"/>
          <w:sz w:val="24"/>
          <w:szCs w:val="24"/>
        </w:rPr>
        <w:t xml:space="preserve">(представленными в разделе «Мы против коррупции» </w:t>
      </w:r>
      <w:r>
        <w:rPr>
          <w:spacing w:val="5"/>
          <w:sz w:val="24"/>
          <w:szCs w:val="24"/>
        </w:rPr>
        <w:t xml:space="preserve">на официальном сайте ПАО </w:t>
      </w:r>
      <w:r>
        <w:rPr>
          <w:color w:val="000000"/>
          <w:sz w:val="24"/>
          <w:szCs w:val="24"/>
        </w:rPr>
        <w:t xml:space="preserve">«Россети Московский регион»</w:t>
      </w:r>
      <w:r>
        <w:rPr>
          <w:spacing w:val="5"/>
          <w:sz w:val="24"/>
          <w:szCs w:val="24"/>
        </w:rPr>
        <w:t xml:space="preserve">, полностью принимает положения Антикоррупционной политики ПАО «Россети» и ДЗО «ПАО</w:t>
      </w:r>
      <w:r>
        <w:rPr>
          <w:spacing w:val="5"/>
          <w:sz w:val="24"/>
          <w:szCs w:val="24"/>
        </w:rPr>
        <w:t xml:space="preserve">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71"/>
        <w:numPr>
          <w:ilvl w:val="1"/>
          <w:numId w:val="20"/>
        </w:numPr>
        <w:ind w:left="0" w:firstLine="709"/>
        <w:jc w:val="both"/>
        <w:widowControl w:val="off"/>
        <w:tabs>
          <w:tab w:val="left" w:pos="0" w:leader="none"/>
          <w:tab w:val="num" w:pos="567" w:leader="none"/>
          <w:tab w:val="left" w:pos="1134" w:leader="none"/>
          <w:tab w:val="left" w:pos="1276" w:leader="none"/>
        </w:tabs>
        <w:rPr>
          <w:rFonts w:eastAsia="Times New Roman"/>
          <w:spacing w:val="5"/>
          <w:sz w:val="24"/>
          <w:lang w:eastAsia="ru-RU"/>
        </w:rPr>
      </w:pPr>
      <w:r>
        <w:rPr>
          <w:rFonts w:eastAsia="Times New Roman"/>
          <w:spacing w:val="5"/>
          <w:sz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rFonts w:eastAsia="Times New Roman"/>
          <w:spacing w:val="5"/>
          <w:sz w:val="24"/>
          <w:lang w:eastAsia="ru-RU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rFonts w:eastAsia="Times New Roman"/>
          <w:spacing w:val="5"/>
          <w:sz w:val="24"/>
          <w:lang w:eastAsia="ru-RU"/>
        </w:rPr>
      </w:r>
      <w:r>
        <w:rPr>
          <w:rFonts w:eastAsia="Times New Roman"/>
          <w:spacing w:val="5"/>
          <w:sz w:val="24"/>
          <w:lang w:eastAsia="ru-RU"/>
        </w:rPr>
      </w:r>
    </w:p>
    <w:p>
      <w:pPr>
        <w:pStyle w:val="2304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spacing w:val="5"/>
          <w:sz w:val="24"/>
          <w:szCs w:val="24"/>
        </w:rPr>
        <w:t xml:space="preserve">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</w:t>
      </w:r>
      <w:r>
        <w:rPr>
          <w:bCs/>
          <w:spacing w:val="5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pStyle w:val="2304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</w:t>
      </w:r>
      <w:r>
        <w:rPr>
          <w:spacing w:val="5"/>
          <w:sz w:val="24"/>
          <w:szCs w:val="24"/>
        </w:rPr>
        <w:t xml:space="preserve">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</w:t>
      </w:r>
      <w:r>
        <w:rPr>
          <w:spacing w:val="5"/>
          <w:sz w:val="24"/>
          <w:szCs w:val="24"/>
        </w:rPr>
        <w:t xml:space="preserve">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</w:t>
      </w:r>
      <w:r>
        <w:rPr>
          <w:spacing w:val="5"/>
          <w:sz w:val="24"/>
          <w:szCs w:val="24"/>
        </w:rPr>
        <w:t xml:space="preserve">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  <w:tab w:val="left" w:pos="6270" w:leader="none"/>
        </w:tabs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2375"/>
          <w:b/>
          <w:i/>
          <w:spacing w:val="-4"/>
          <w:sz w:val="24"/>
          <w:szCs w:val="24"/>
        </w:rPr>
        <w:footnoteReference w:id="41"/>
      </w:r>
      <w:r>
        <w:rPr>
          <w:b/>
          <w:i/>
          <w:spacing w:val="-4"/>
          <w:sz w:val="24"/>
          <w:szCs w:val="24"/>
        </w:rPr>
        <w:tab/>
        <w:tab/>
      </w:r>
      <w:r>
        <w:rPr>
          <w:b/>
          <w:i/>
          <w:spacing w:val="-4"/>
          <w:sz w:val="24"/>
          <w:szCs w:val="24"/>
        </w:rPr>
      </w:r>
      <w:r>
        <w:rPr>
          <w:b/>
          <w:i/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</w:t>
      </w:r>
      <w:r>
        <w:rPr>
          <w:spacing w:val="-4"/>
          <w:sz w:val="24"/>
          <w:szCs w:val="24"/>
        </w:rPr>
        <w:t xml:space="preserve">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</w:t>
      </w:r>
      <w:r>
        <w:rPr>
          <w:spacing w:val="-4"/>
          <w:sz w:val="24"/>
          <w:szCs w:val="24"/>
        </w:rPr>
        <w:t xml:space="preserve">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Антикоррупционной хартией ро</w:t>
      </w:r>
      <w:r>
        <w:rPr>
          <w:spacing w:val="-4"/>
          <w:sz w:val="24"/>
          <w:szCs w:val="24"/>
        </w:rPr>
        <w:t xml:space="preserve">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</w:t>
      </w:r>
      <w:r>
        <w:rPr>
          <w:spacing w:val="-4"/>
          <w:sz w:val="24"/>
          <w:szCs w:val="24"/>
        </w:rPr>
        <w:t xml:space="preserve">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</w:t>
      </w:r>
      <w:r>
        <w:rPr>
          <w:spacing w:val="-4"/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spacing w:val="-4"/>
          <w:sz w:val="24"/>
          <w:szCs w:val="24"/>
        </w:rPr>
        <w:t xml:space="preserve">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</w:t>
      </w:r>
      <w:r>
        <w:rPr>
          <w:spacing w:val="-4"/>
          <w:sz w:val="24"/>
          <w:szCs w:val="24"/>
        </w:rPr>
        <w:t xml:space="preserve">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другую Сторону в письменной форме. После письменного уведомления Ст</w:t>
      </w:r>
      <w:r>
        <w:rPr>
          <w:spacing w:val="-4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</w:t>
      </w:r>
      <w:r>
        <w:rPr>
          <w:spacing w:val="-4"/>
          <w:sz w:val="24"/>
          <w:szCs w:val="24"/>
        </w:rPr>
        <w:t xml:space="preserve">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настоящего Договора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в</w:t>
      </w:r>
      <w:r>
        <w:rPr>
          <w:spacing w:val="-4"/>
          <w:sz w:val="24"/>
          <w:szCs w:val="24"/>
        </w:rPr>
        <w:t xml:space="preserve"> пункте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</w:t>
      </w:r>
      <w:r>
        <w:rPr>
          <w:spacing w:val="-4"/>
          <w:sz w:val="24"/>
          <w:szCs w:val="24"/>
        </w:rPr>
        <w:t xml:space="preserve">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4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  <w:br w:type="textWrapping" w:clear="all"/>
        <w:t xml:space="preserve">в размере 1%</w:t>
      </w:r>
      <w:r>
        <w:rPr>
          <w:rStyle w:val="2375"/>
          <w:sz w:val="24"/>
          <w:szCs w:val="24"/>
        </w:rPr>
        <w:footnoteReference w:id="42"/>
      </w:r>
      <w:r>
        <w:rPr>
          <w:sz w:val="24"/>
          <w:szCs w:val="24"/>
        </w:rPr>
        <w:t xml:space="preserve"> от уступленной суммы.</w:t>
      </w:r>
      <w:r>
        <w:rPr>
          <w:rStyle w:val="2375"/>
          <w:sz w:val="24"/>
          <w:szCs w:val="24"/>
        </w:rPr>
        <w:footnoteReference w:id="43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2375"/>
          <w:i/>
          <w:sz w:val="24"/>
          <w:szCs w:val="24"/>
        </w:rPr>
        <w:footnoteReference w:id="44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2375"/>
          <w:i/>
          <w:sz w:val="24"/>
          <w:szCs w:val="24"/>
        </w:rPr>
        <w:footnoteReference w:id="4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2375"/>
          <w:sz w:val="24"/>
          <w:szCs w:val="24"/>
        </w:rPr>
        <w:footnoteReference w:id="46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2375"/>
          <w:i/>
          <w:sz w:val="24"/>
          <w:szCs w:val="24"/>
        </w:rPr>
        <w:footnoteReference w:id="47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2375"/>
          <w:i/>
          <w:sz w:val="24"/>
          <w:szCs w:val="24"/>
        </w:rPr>
        <w:footnoteReference w:id="48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2375"/>
          <w:sz w:val="24"/>
          <w:szCs w:val="24"/>
        </w:rPr>
        <w:footnoteReference w:id="49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2375"/>
          <w:sz w:val="24"/>
          <w:szCs w:val="24"/>
        </w:rPr>
        <w:footnoteReference w:id="5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</w:t>
      </w:r>
      <w:r>
        <w:rPr>
          <w:sz w:val="24"/>
          <w:szCs w:val="24"/>
        </w:rPr>
        <w:t xml:space="preserve">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</w:t>
      </w:r>
      <w:r>
        <w:rPr>
          <w:sz w:val="24"/>
          <w:szCs w:val="24"/>
        </w:rPr>
        <w:t xml:space="preserve">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1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</w:t>
      </w:r>
      <w:r>
        <w:rPr>
          <w:sz w:val="24"/>
        </w:rPr>
        <w:t xml:space="preserve">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Исполнитель не предоставил Заказчику необходимую в соответствии с условиями Догов</w:t>
      </w:r>
      <w:r>
        <w:rPr>
          <w:sz w:val="24"/>
        </w:rPr>
        <w:t xml:space="preserve">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заверения и/или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r>
        <w:rPr>
          <w:sz w:val="24"/>
          <w:szCs w:val="24"/>
        </w:rPr>
        <w:t xml:space="preserve">то Исполнитель обязуется возместить Заказчику убытки,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2375"/>
          <w:sz w:val="24"/>
          <w:szCs w:val="24"/>
        </w:rPr>
        <w:footnoteReference w:id="51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52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  <w:br w:type="textWrapping" w:clear="all"/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</w:t>
      </w:r>
      <w:r>
        <w:rPr>
          <w:sz w:val="24"/>
          <w:szCs w:val="24"/>
        </w:rPr>
        <w:t xml:space="preserve">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2375"/>
          <w:sz w:val="24"/>
          <w:szCs w:val="24"/>
        </w:rPr>
        <w:footnoteReference w:id="53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</w:t>
      </w:r>
      <w:r>
        <w:rPr>
          <w:sz w:val="24"/>
          <w:szCs w:val="24"/>
        </w:rPr>
        <w:t xml:space="preserve">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</w:t>
      </w:r>
      <w:r>
        <w:rPr>
          <w:sz w:val="24"/>
          <w:szCs w:val="24"/>
        </w:rPr>
        <w:t xml:space="preserve">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</w:t>
      </w:r>
      <w:r>
        <w:rPr>
          <w:sz w:val="24"/>
          <w:szCs w:val="24"/>
        </w:rPr>
        <w:t xml:space="preserve">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</w:t>
      </w:r>
      <w:r>
        <w:rPr>
          <w:sz w:val="24"/>
          <w:szCs w:val="24"/>
        </w:rPr>
        <w:t xml:space="preserve">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</w:t>
      </w:r>
      <w:r>
        <w:rPr>
          <w:sz w:val="24"/>
          <w:szCs w:val="24"/>
        </w:rPr>
        <w:t xml:space="preserve">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5.1.18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2375"/>
          <w:sz w:val="24"/>
          <w:szCs w:val="24"/>
        </w:rPr>
        <w:footnoteReference w:id="54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rStyle w:val="2375"/>
          <w:b/>
          <w:bCs/>
          <w:caps/>
          <w:sz w:val="24"/>
          <w:szCs w:val="24"/>
        </w:rPr>
        <w:footnoteReference w:id="55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</w:t>
      </w:r>
      <w:r>
        <w:rPr>
          <w:sz w:val="24"/>
          <w:szCs w:val="24"/>
        </w:rPr>
        <w:t xml:space="preserve">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</w:t>
      </w:r>
      <w:r>
        <w:rPr>
          <w:sz w:val="24"/>
          <w:szCs w:val="24"/>
        </w:rPr>
        <w:t xml:space="preserve">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</w:t>
      </w:r>
      <w:r>
        <w:rPr>
          <w:color w:val="282828"/>
          <w:sz w:val="24"/>
          <w:szCs w:val="24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</w:t>
      </w:r>
      <w:r>
        <w:rPr>
          <w:sz w:val="24"/>
          <w:szCs w:val="24"/>
        </w:rPr>
        <w:t xml:space="preserve">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</w:t>
      </w:r>
      <w:r>
        <w:rPr>
          <w:sz w:val="24"/>
          <w:szCs w:val="24"/>
        </w:rPr>
        <w:t xml:space="preserve"> ее получения.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</w:t>
      </w:r>
      <w:r>
        <w:rPr>
          <w:color w:val="282828"/>
          <w:sz w:val="24"/>
          <w:szCs w:val="24"/>
        </w:rPr>
        <w:t xml:space="preserve"> Исполнителю</w:t>
      </w:r>
      <w:r>
        <w:rPr>
          <w:color w:val="282828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  <w:br w:type="textWrapping" w:clear="all"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</w:t>
      </w:r>
      <w:r>
        <w:rPr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</w:t>
      </w:r>
      <w:r>
        <w:rPr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  <w:br w:type="textWrapping" w:clear="all"/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  <w:br w:type="textWrapping" w:clear="all"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–  Расчет цены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sz w:val="24"/>
          <w:szCs w:val="24"/>
        </w:rPr>
        <w:t xml:space="preserve">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  <w:t xml:space="preserve"> - Форма предоставления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  <w:t xml:space="preserve"> – Форма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– Форма Отчета об оказанных услугах.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 – Условия обеспечение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7.1 – Форма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709"/>
        <w:spacing w:line="260" w:lineRule="exact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8 - Требования в области охраны окружающей среды;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9 – Таблица нарушений</w:t>
      </w:r>
      <w:r>
        <w:rPr>
          <w:rStyle w:val="2375"/>
          <w:szCs w:val="24"/>
        </w:rPr>
        <w:footnoteReference w:id="5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10 –  Справка о материально-технических ресурсах</w:t>
      </w:r>
      <w:r>
        <w:rPr>
          <w:sz w:val="24"/>
          <w:vertAlign w:val="superscript"/>
        </w:rPr>
        <w:footnoteReference w:id="5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11 – Справка о кадровых ресурсах</w:t>
      </w:r>
      <w:r>
        <w:rPr>
          <w:sz w:val="24"/>
          <w:szCs w:val="24"/>
          <w:vertAlign w:val="superscript"/>
        </w:rPr>
        <w:footnoteReference w:id="5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12 – Требования информационной безопасности</w:t>
      </w:r>
      <w:r>
        <w:rPr>
          <w:rStyle w:val="2375"/>
          <w:sz w:val="24"/>
          <w:szCs w:val="24"/>
        </w:rPr>
        <w:footnoteReference w:id="5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4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widowControl w:val="off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75" w:type="dxa"/>
            <w:vAlign w:val="top"/>
            <w:textDirection w:val="lrTb"/>
            <w:noWrap w:val="false"/>
          </w:tcPr>
          <w:p>
            <w:pPr>
              <w:pStyle w:val="2305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993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2375"/>
          <w:sz w:val="24"/>
          <w:szCs w:val="24"/>
        </w:rPr>
        <w:footnoteReference w:id="60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  <w:t xml:space="preserve">Приложение № 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2375"/>
          <w:sz w:val="24"/>
          <w:szCs w:val="24"/>
        </w:rPr>
        <w:footnoteReference w:id="61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57"/>
        <w:contextualSpacing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6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6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2375"/>
          <w:rFonts w:ascii="Times New Roman" w:hAnsi="Times New Roman"/>
          <w:b/>
          <w:i/>
          <w:sz w:val="24"/>
          <w:szCs w:val="24"/>
        </w:rPr>
        <w:footnoteReference w:id="62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17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2375"/>
          <w:rFonts w:ascii="Times New Roman" w:hAnsi="Times New Roman" w:cs="Times New Roman"/>
          <w:sz w:val="24"/>
          <w:szCs w:val="24"/>
        </w:rPr>
        <w:footnoteReference w:id="63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7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61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4"/>
        <w:gridCol w:w="32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4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 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2375"/>
          <w:b/>
          <w:bCs/>
          <w:caps/>
          <w:sz w:val="24"/>
          <w:szCs w:val="24"/>
        </w:rPr>
        <w:footnoteReference w:id="64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/>
      <w:bookmarkStart w:id="2" w:name="_Ref414630194"/>
      <w:r/>
      <w:bookmarkStart w:id="3" w:name="_Ref415319910"/>
      <w:r>
        <w:rPr>
          <w:i/>
          <w:sz w:val="24"/>
        </w:rPr>
        <w:t xml:space="preserve">Контрагент</w:t>
      </w:r>
      <w:r>
        <w:rPr>
          <w:rStyle w:val="2375"/>
          <w:sz w:val="24"/>
        </w:rPr>
        <w:footnoteReference w:id="65"/>
      </w:r>
      <w:r>
        <w:rPr>
          <w:sz w:val="24"/>
        </w:rPr>
        <w:t xml:space="preserve"> должен предоставить финансовое обеспечение исполнения обязательств по Договору</w:t>
      </w:r>
      <w:r>
        <w:rPr>
          <w:rStyle w:val="2375"/>
          <w:sz w:val="24"/>
        </w:rPr>
        <w:footnoteReference w:id="66"/>
      </w:r>
      <w:r>
        <w:rPr>
          <w:sz w:val="24"/>
        </w:rPr>
        <w:t xml:space="preserve"> </w:t>
      </w:r>
      <w:r>
        <w:rPr>
          <w:i/>
          <w:sz w:val="24"/>
        </w:rPr>
        <w:t xml:space="preserve">и финансовое обеспечение возврата авансовых платежей</w:t>
      </w:r>
      <w:r>
        <w:rPr>
          <w:rStyle w:val="2375"/>
          <w:sz w:val="24"/>
        </w:rPr>
        <w:footnoteReference w:id="67"/>
      </w:r>
      <w:r>
        <w:rPr>
          <w:sz w:val="24"/>
        </w:rPr>
        <w:t xml:space="preserve">. Все расходы, связанные с предоставлением такого обеспечения, несет Контрагент.</w:t>
      </w:r>
      <w:bookmarkEnd w:id="2"/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Независимая гарантия - способ обеспечения исполнения обязательства, в силу которого банк или иная кредитная организация, а также другие коммерческие организации (Гарант) принимают на себя  по просьб</w:t>
      </w:r>
      <w:r>
        <w:rPr>
          <w:sz w:val="24"/>
        </w:rPr>
        <w:t xml:space="preserve">е другого лица (Принципала)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</w:pPr>
      <w:r>
        <w:rPr>
          <w:sz w:val="24"/>
        </w:rPr>
        <w:t xml:space="preserve">Банковская гарантия - способ обеспечения исполнения обязательства, в силу которого банк (Банк-гарант, Гарант) принимает на себя  по просьбе</w:t>
      </w:r>
      <w:r>
        <w:rPr>
          <w:sz w:val="24"/>
        </w:rPr>
        <w:t xml:space="preserve"> другого лица (Принципала) 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/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Спецторги - конкурентные закупки, участниками которых могут быть только субъекты малого и среднего предпринимательства (МСП).</w:t>
      </w:r>
      <w:r>
        <w:rPr>
          <w:sz w:val="24"/>
        </w:rPr>
      </w:r>
      <w:r>
        <w:rPr>
          <w:sz w:val="24"/>
        </w:rPr>
      </w:r>
    </w:p>
    <w:p>
      <w:pPr>
        <w:pStyle w:val="2371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Гарантия - независимая гарантия (в том числе банковская гарантия).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rStyle w:val="2375"/>
          <w:sz w:val="24"/>
        </w:rPr>
        <w:footnoteReference w:id="68"/>
      </w:r>
      <w:r>
        <w:rPr>
          <w:sz w:val="24"/>
        </w:rPr>
        <w:t xml:space="preserve">Контрагент должен предоставить гарантию</w:t>
      </w:r>
      <w:r>
        <w:rPr>
          <w:rStyle w:val="2375"/>
          <w:sz w:val="24"/>
        </w:rPr>
        <w:footnoteReference w:id="69"/>
      </w:r>
      <w:r>
        <w:rPr>
          <w:sz w:val="24"/>
        </w:rPr>
        <w:t xml:space="preserve"> на возврат авансовых платежей,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гарантия на возврат авансовых платежей должна быть составлена по форме согласно Приложению №__</w:t>
      </w:r>
      <w:r>
        <w:rPr>
          <w:rStyle w:val="2375"/>
          <w:rFonts w:ascii="Times New Roman" w:hAnsi="Times New Roman"/>
        </w:rPr>
        <w:footnoteReference w:id="70"/>
      </w:r>
      <w:r>
        <w:rPr>
          <w:rFonts w:ascii="Times New Roman" w:hAnsi="Times New Roman"/>
        </w:rPr>
        <w:t xml:space="preserve"> к Договору;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4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гарантия на возврат авансовых платежей должна обеспечивать обязательст</w:t>
      </w:r>
      <w:r>
        <w:rPr>
          <w:sz w:val="24"/>
          <w:szCs w:val="24"/>
        </w:rPr>
        <w:t xml:space="preserve">ва Контрагента по возврату аванса Обществу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</w:t>
      </w:r>
      <w:r>
        <w:rPr>
          <w:sz w:val="24"/>
          <w:szCs w:val="24"/>
        </w:rPr>
        <w:t xml:space="preserve">вительностью Договора. Гарантия на возврат авансовых платежей по Договору распространяется как на основные обязательства (возврат аванса), так и на любые связанные с ними дополнительные обязательства, в т.ч. по уплате процентов, неустоек, штрафов, убытков;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сумма гарантии на возврат авансовых платежей по Договору должна быть не менее суммы, подлежащей выплате Контрагенту в качестве аванса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гара</w:t>
      </w:r>
      <w:r>
        <w:rPr>
          <w:sz w:val="24"/>
          <w:szCs w:val="24"/>
        </w:rPr>
        <w:t xml:space="preserve">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после планируемой даты исполнения контрагентом обязательств, обеспеченных гарантией;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оригинал гарантии, на в</w:t>
      </w:r>
      <w:r>
        <w:rPr>
          <w:rFonts w:ascii="Times New Roman" w:hAnsi="Times New Roman"/>
        </w:rPr>
        <w:t xml:space="preserve">озврат авансовых платежей, согласованной с Обществом, предоставляется Контрагентом не позднее, чем за 10 рабочих дней до даты планируемого перечисления авансового платежа, в обеспечение которого выдана банковская гарантия, и выставления счета Контрагентом.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должен предоставить гарантию</w:t>
      </w:r>
      <w:r>
        <w:rPr>
          <w:rStyle w:val="2375"/>
          <w:sz w:val="24"/>
        </w:rPr>
        <w:footnoteReference w:id="71"/>
      </w:r>
      <w:r>
        <w:rPr>
          <w:sz w:val="24"/>
        </w:rPr>
        <w:t xml:space="preserve"> на исполнение обязательств по Договору</w:t>
      </w:r>
      <w:r>
        <w:rPr>
          <w:sz w:val="24"/>
          <w:vertAlign w:val="superscript"/>
        </w:rPr>
        <w:footnoteReference w:id="72"/>
      </w:r>
      <w:r>
        <w:rPr>
          <w:sz w:val="24"/>
        </w:rPr>
        <w:t xml:space="preserve">,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на исполнение обязательств по Договору должна быть составлена по форме согласно Приложению № __</w:t>
      </w:r>
      <w:r>
        <w:rPr>
          <w:rStyle w:val="2375"/>
          <w:rFonts w:ascii="Times New Roman" w:hAnsi="Times New Roman"/>
        </w:rPr>
        <w:footnoteReference w:id="73"/>
      </w:r>
      <w:r>
        <w:rPr>
          <w:rFonts w:ascii="Times New Roman" w:hAnsi="Times New Roman"/>
        </w:rPr>
        <w:t xml:space="preserve"> к Договору.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4"/>
        <w:ind w:firstLine="709"/>
        <w:jc w:val="both"/>
        <w:spacing w:line="300" w:lineRule="exact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Гарантия на исполнени</w:t>
      </w:r>
      <w:r>
        <w:rPr>
          <w:sz w:val="24"/>
          <w:szCs w:val="24"/>
        </w:rPr>
        <w:t xml:space="preserve">е обязательств по Договору должна обеспечивать исполнение всех обязательств Контрагента в отношении Общества по Договору, как основных, так и любых иных обязательств Контрагента в связи с исполнением, изменением, прекращением, недействительностью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9"/>
        <w:jc w:val="both"/>
        <w:spacing w:line="300" w:lineRule="exact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гарантии на исполнение обязательств по Договору должна составлять не менее 10%</w:t>
      </w:r>
      <w:r>
        <w:rPr>
          <w:rStyle w:val="2375"/>
          <w:sz w:val="24"/>
          <w:szCs w:val="24"/>
        </w:rPr>
        <w:footnoteReference w:id="74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 действия гар</w:t>
      </w:r>
      <w:r>
        <w:rPr>
          <w:rFonts w:ascii="Times New Roman" w:hAnsi="Times New Roman"/>
        </w:rPr>
        <w:t xml:space="preserve">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календарных дней после планируемой даты исполнения контрагентом обязательств, обеспеченных гарантией.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Допускается по согласованию с Обществом предоставление гарантии на исполнение обязател</w:t>
      </w:r>
      <w:r>
        <w:rPr>
          <w:rFonts w:ascii="Times New Roman" w:hAnsi="Times New Roman"/>
        </w:rPr>
        <w:t xml:space="preserve">ьств по Договору на часть данного срока. В этом случае срок действия гарантии не должен быть менее 1 года с даты вступления ее в силу. В таком случае Контрагент обязан заменить указанную гарантию не позднее, чем за 60 дней до окончания срока ее действия.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изменения Цены Договора, или увеличения срока исполнения обязательств</w:t>
      </w:r>
      <w:r>
        <w:rPr>
          <w:rFonts w:ascii="Times New Roman" w:hAnsi="Times New Roman"/>
        </w:rPr>
        <w:t xml:space="preserve"> по Договору, или заключения дополнительного соглашения, предусматривающего предоставление гарантии впервые, срок действия гарантии на исполнение обязательств по Договору должен начинаться не позднее чем в течение 10 рабочих дней с даты подписания дополнит</w:t>
      </w:r>
      <w:r>
        <w:rPr>
          <w:rFonts w:ascii="Times New Roman" w:hAnsi="Times New Roman"/>
        </w:rPr>
        <w:t xml:space="preserve">ельного соглашения/изменения и заканчиваться не ранее, чем через 60 календарных дней после планируемой даты исполнения контрагентом обязательств, обеспеченных гарантией и наличии права Общества на применение к Контрагенту штрафных санкций в сумме не менее </w:t>
      </w:r>
      <w:r>
        <w:rPr>
          <w:rFonts w:ascii="Times New Roman" w:hAnsi="Times New Roman"/>
        </w:rPr>
        <w:t xml:space="preserve">0,01% от цены договора за каждый день просрочки в случае несвоевременной замены / продления гарантии. В этом случае оригинал гарантии, согласованной Обществом, должен быть представлен не позднее 10 рабочих дней с даты возникновения указанных обстоятельств.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действующих принятых Обществом гарантий на исполнение обязательств по Договору должна составлять не менее 10%</w:t>
      </w:r>
      <w:r>
        <w:rPr>
          <w:rFonts w:ascii="Times New Roman" w:hAnsi="Times New Roman"/>
          <w:vertAlign w:val="superscript"/>
        </w:rPr>
        <w:footnoteReference w:id="75"/>
      </w:r>
      <w:r>
        <w:rPr>
          <w:rFonts w:ascii="Times New Roman" w:hAnsi="Times New Roman"/>
        </w:rPr>
        <w:t xml:space="preserve"> от Цены Договора с учетом дополнительного соглашения.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Предоставленные Контрагентом банковские гарантии должны отвечать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должна быть безотзывной.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должна содержать безусловное и безотзывное обязательство уплатить Бенефициару любую сумму или суммы, не превышающие в итоге сумму гарантии, по получении письменного тр</w:t>
      </w:r>
      <w:r>
        <w:rPr>
          <w:rFonts w:ascii="Times New Roman" w:hAnsi="Times New Roman"/>
        </w:rPr>
        <w:t xml:space="preserve">ебования Бенефициара, указывающего, что Принципал не исполнил надлежащим образом свои обязательства по Договору, без споров и возражений со стороны Гаранта, не требуя от Бенефициара доказательств или обоснований требования на определенную в гарантии сумму.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не должна предоставлять Гаранту возможность требовать от Бенефициара для совершения платежа по гарантии предоставления каких-либо документов за исключением: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надлежащим образом оформленного требования Бенефициара;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перечисленных в явном виде в тексте банковской гарантии информационных справок, для заверения которых достаточно подписи представителя Бенефициара.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предусматривать ответственность Гаранта в случае просрочки исполнения обязательств по гарантии, требование об уплате де</w:t>
      </w:r>
      <w:r>
        <w:rPr>
          <w:rFonts w:ascii="Times New Roman" w:hAnsi="Times New Roman"/>
        </w:rPr>
        <w:t xml:space="preserve">нежной суммы по которой соответствует условиям такой Гарантии и предъявлено Бенефициаром до окончания срока ее действия, уплатить Обществу за каждый день просрочки неустойку (пени) в размере 0,1 процента денежной суммы, подлежащей уплате по такой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Ответственность Гаранта за неисполнение требования по настоящей гарантии не ограничивается суммой, на которую она выдана.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Гарантией должно быть предусмотрено положение о невозможности передачи другому лицу права требования Бенефициара к Гаранту.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Предоставленные Контрагентом независимые гарантии (по результатам Спецторгов) должны отвечать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быть выдана гарантом, включенным в перечень, предусмотренный ч.1 ст.45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</w:t>
      </w:r>
      <w:r>
        <w:rPr>
          <w:rFonts w:ascii="Times New Roman" w:hAnsi="Times New Roman"/>
        </w:rPr>
        <w:t xml:space="preserve">формация о Гарантии должна быть включена в реестр независимых гарантий, предусмотренный ч.8 ст.45 Федерального закона от 05 .04.2013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не может быть отозвана выдавшим ее Гарантом;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содержать: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условие об обязанности Гаранта уплатить Бенефициару денежную сумму по </w:t>
      </w:r>
      <w:r>
        <w:rPr>
          <w:rFonts w:ascii="Times New Roman" w:hAnsi="Times New Roman"/>
        </w:rPr>
        <w:t xml:space="preserve">независимой гарантии не позднее десяти рабочих дней со дня, следующего за днем получения Гарантом требования Бенефициара, соответствующего условиям такой Гарантии, при отсутствии предусмотренных ГК РФ оснований для отказа в удовлетворении этого требования;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перечень документов, подлежащих представлению Бенефициаром Гаранту одновременно с требованием об уплате денежной суммы по Гарантии, в случае установления такого перечня Правительством РФ;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Отсутствие в Гарантии условия о представлении Бенефициаром гаранту судебных актов, подтверждающих неисполнение принципалом обязательств, обеспечиваемых независимой гарантией.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предусматривать ответственность Гаранта в случае просрочки исполнения обязательств по независимой гарантии, требование об уплате денежной суммы по которой соответс</w:t>
      </w:r>
      <w:r>
        <w:rPr>
          <w:rFonts w:ascii="Times New Roman" w:hAnsi="Times New Roman"/>
        </w:rPr>
        <w:t xml:space="preserve">твует условиям такой независимой гарантии и предъявлено Бенефициаром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Гаранты должны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/>
      <w:bookmarkStart w:id="4" w:name="_Toc48130778"/>
      <w:r>
        <w:rPr>
          <w:rFonts w:ascii="Times New Roman" w:hAnsi="Times New Roman"/>
        </w:rPr>
        <w:t xml:space="preserve">Гарантия, предоставляемая в качестве обеспечения исполнения договор</w:t>
      </w:r>
      <w:r>
        <w:rPr>
          <w:rFonts w:ascii="Times New Roman" w:hAnsi="Times New Roman"/>
        </w:rPr>
        <w:t xml:space="preserve">а, заключаемого по результатам Спецторгов, должна быть выдана гарантом, предусмотренным ч.1 ст.45 Федерального закона от 05.04.2013 № 44-ФЗ «О контрактной системе в сфере закупок товаров, работ, услуг для обеспечения государственных и муниципальных нужд.».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целей принятия Гарантии, предоставляемой в качестве обеспечения договора, заключаемого по результатам закупки, которая не относится к Спецторгам, Гарант, выдающий Гарантию, должен отвечать всем нижеследующим требованиям:</w:t>
      </w:r>
      <w:r>
        <w:rPr>
          <w:rFonts w:ascii="Times New Roman" w:hAnsi="Times New Roman"/>
        </w:rPr>
        <w:t xml:space="preserve"> </w:t>
      </w:r>
      <w:bookmarkEnd w:id="3"/>
      <w:r/>
      <w:bookmarkStart w:id="5" w:name="_Toc4813077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гарант обладает действующей лицензией на банковскую деятельность, выданной Банком России;</w:t>
      </w:r>
      <w:bookmarkEnd w:id="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6" w:name="_Toc48130780"/>
      <w:r>
        <w:rPr>
          <w:rFonts w:ascii="Times New Roman" w:hAnsi="Times New Roman"/>
        </w:rPr>
        <w:t xml:space="preserve">- 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bookmarkEnd w:id="5"/>
      <w:r>
        <w:rPr>
          <w:rFonts w:ascii="Times New Roman" w:hAnsi="Times New Roman"/>
          <w:vertAlign w:val="superscript"/>
        </w:rPr>
        <w:footnoteReference w:id="76"/>
      </w:r>
      <w:r>
        <w:rPr>
          <w:rFonts w:ascii="Times New Roman" w:hAnsi="Times New Roman"/>
        </w:rPr>
        <w:t xml:space="preserve">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7" w:name="_Toc48130781"/>
      <w:r>
        <w:rPr>
          <w:rFonts w:ascii="Times New Roman" w:hAnsi="Times New Roman"/>
        </w:rPr>
        <w:t xml:space="preserve">- 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</w:t>
      </w:r>
      <w:r>
        <w:rPr>
          <w:rFonts w:ascii="Times New Roman" w:hAnsi="Times New Roman"/>
        </w:rPr>
        <w:t xml:space="preserve">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</w:t>
      </w:r>
      <w:r>
        <w:rPr>
          <w:rFonts w:ascii="Times New Roman" w:hAnsi="Times New Roman"/>
        </w:rPr>
        <w:t xml:space="preserve">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>
        <w:rPr>
          <w:rFonts w:ascii="Times New Roman" w:hAnsi="Times New Roman"/>
          <w:vertAlign w:val="superscript"/>
        </w:rPr>
        <w:footnoteReference w:id="77"/>
      </w:r>
      <w:r>
        <w:rPr>
          <w:rFonts w:ascii="Times New Roman" w:hAnsi="Times New Roman"/>
        </w:rPr>
        <w:t xml:space="preserve">;</w:t>
      </w:r>
      <w:bookmarkEnd w:id="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8" w:name="_Toc48130782"/>
      <w:r>
        <w:rPr>
          <w:rFonts w:ascii="Times New Roman" w:hAnsi="Times New Roman"/>
        </w:rPr>
        <w:t xml:space="preserve">- гарант имеет кредитный рейтинг</w:t>
      </w:r>
      <w:r>
        <w:rPr>
          <w:rFonts w:ascii="Times New Roman" w:hAnsi="Times New Roman"/>
        </w:rPr>
        <w:t xml:space="preserve">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гаранта:</w:t>
      </w:r>
      <w:bookmarkEnd w:id="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4"/>
        <w:ind w:firstLine="709"/>
        <w:rPr>
          <w:vanish/>
          <w:sz w:val="24"/>
          <w:szCs w:val="24"/>
        </w:rPr>
      </w:pPr>
      <w:r/>
      <w:bookmarkStart w:id="9" w:name="_Toc48130783"/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tbl>
      <w:tblPr>
        <w:tblW w:w="0" w:type="auto"/>
        <w:tblInd w:w="8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05"/>
        <w:gridCol w:w="54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7"/>
        </w:trPr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2304"/>
              <w:ind w:firstLine="709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>
              <w:rPr>
                <w:bCs/>
                <w:sz w:val="24"/>
                <w:szCs w:val="24"/>
              </w:rPr>
              <w:t xml:space="preserve">Рейтинг</w:t>
            </w:r>
            <w:bookmarkEnd w:id="8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953" w:type="dxa"/>
            <w:vAlign w:val="top"/>
            <w:textDirection w:val="lrTb"/>
            <w:noWrap w:val="false"/>
          </w:tcPr>
          <w:p>
            <w:pPr>
              <w:pStyle w:val="2304"/>
              <w:ind w:firstLine="709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0" w:name="_Toc48130784"/>
            <w:r>
              <w:rPr>
                <w:bCs/>
                <w:sz w:val="24"/>
                <w:szCs w:val="24"/>
              </w:rPr>
              <w:t xml:space="preserve">Дополнительные требования</w:t>
            </w:r>
            <w:bookmarkEnd w:id="9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/>
        </w:trPr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2304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1" w:name="_Toc48130785"/>
            <w:r>
              <w:rPr>
                <w:bCs/>
                <w:sz w:val="24"/>
                <w:szCs w:val="24"/>
                <w:lang w:val="en-US"/>
              </w:rPr>
              <w:t xml:space="preserve">BBB</w:t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  <w:lang w:val="en-US"/>
              </w:rPr>
              <w:t xml:space="preserve">RU</w:t>
            </w:r>
            <w:r>
              <w:rPr>
                <w:bCs/>
                <w:sz w:val="24"/>
                <w:szCs w:val="24"/>
              </w:rPr>
              <w:t xml:space="preserve">)/ </w:t>
            </w:r>
            <w:r>
              <w:rPr>
                <w:bCs/>
                <w:sz w:val="24"/>
                <w:szCs w:val="24"/>
                <w:lang w:val="en-US"/>
              </w:rPr>
              <w:t xml:space="preserve">ruBBB</w:t>
            </w:r>
            <w:r>
              <w:rPr>
                <w:bCs/>
                <w:sz w:val="24"/>
                <w:szCs w:val="24"/>
              </w:rPr>
              <w:t xml:space="preserve"> и выше</w:t>
            </w:r>
            <w:bookmarkEnd w:id="10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953" w:type="dxa"/>
            <w:vAlign w:val="top"/>
            <w:textDirection w:val="lrTb"/>
            <w:noWrap w:val="false"/>
          </w:tcPr>
          <w:p>
            <w:pPr>
              <w:pStyle w:val="2304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2" w:name="_Toc48130786"/>
            <w:r>
              <w:rPr>
                <w:bCs/>
                <w:sz w:val="24"/>
                <w:szCs w:val="24"/>
              </w:rPr>
              <w:t xml:space="preserve">- собственные средства (капитал) гаранта</w:t>
            </w:r>
            <w:r>
              <w:rPr>
                <w:bCs/>
                <w:sz w:val="24"/>
                <w:szCs w:val="24"/>
                <w:vertAlign w:val="superscript"/>
              </w:rPr>
              <w:footnoteReference w:id="78"/>
            </w:r>
            <w:r>
              <w:rPr>
                <w:bCs/>
                <w:sz w:val="24"/>
                <w:szCs w:val="24"/>
              </w:rPr>
              <w:t xml:space="preserve"> превышает либо равен 10 млрд. рублей</w:t>
            </w:r>
            <w:bookmarkEnd w:id="11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3" w:name="_Toc48130787"/>
      <w:r>
        <w:rPr>
          <w:rFonts w:ascii="Times New Roman" w:hAnsi="Times New Roman"/>
        </w:rPr>
        <w:t xml:space="preserve">- отсутствие у гаранта в течение предшествующих 24 месяцев прецедентов просрочки исполнения платежных обязательств перед Обществом, являющееся бенефициаром по независимым гарантиям, выданным принципалу, предоставляющему банковскую гарантию</w:t>
      </w:r>
      <w:r>
        <w:rPr>
          <w:rFonts w:ascii="Times New Roman" w:hAnsi="Times New Roman"/>
          <w:vertAlign w:val="superscript"/>
        </w:rPr>
        <w:footnoteReference w:id="79"/>
      </w:r>
      <w:r>
        <w:rPr>
          <w:rFonts w:ascii="Times New Roman" w:hAnsi="Times New Roman"/>
        </w:rPr>
        <w:t xml:space="preserve">.</w:t>
      </w:r>
      <w:bookmarkEnd w:id="12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отсутствие фактов неисполнения гарантом обязательств по Гарантиям, установленных вступившими в законную силу судебными актами по спорам между ПАО «Россети» или ДЗО ПАО «Россети» и банком-гарантом</w:t>
      </w:r>
      <w:r>
        <w:rPr>
          <w:rFonts w:ascii="Times New Roman" w:hAnsi="Times New Roman"/>
          <w:vertAlign w:val="superscript"/>
        </w:rPr>
        <w:footnoteReference w:id="80"/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left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4" w:name="_Toc48130788"/>
      <w:r>
        <w:rPr>
          <w:rFonts w:ascii="Times New Roman" w:hAnsi="Times New Roman"/>
        </w:rPr>
        <w:t xml:space="preserve">Концентрация риска на одного банка-гаранта </w:t>
      </w:r>
      <w:r>
        <w:rPr>
          <w:rFonts w:ascii="Times New Roman" w:hAnsi="Times New Roman"/>
          <w:vertAlign w:val="superscript"/>
        </w:rPr>
        <w:footnoteReference w:id="81"/>
      </w:r>
      <w:r>
        <w:rPr>
          <w:rFonts w:ascii="Times New Roman" w:hAnsi="Times New Roman"/>
        </w:rPr>
        <w:t xml:space="preserve">.</w:t>
      </w:r>
      <w:bookmarkEnd w:id="1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5" w:name="_Toc48130789"/>
      <w:r>
        <w:rPr>
          <w:rFonts w:ascii="Times New Roman" w:hAnsi="Times New Roman"/>
        </w:rPr>
        <w:t xml:space="preserve">Общая сумма гарантий от одного банка-гаранта, принятых Обществом в обеспечение обязательств одного принципала, не должна превышать:</w:t>
      </w:r>
      <w:bookmarkEnd w:id="1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6" w:name="_Toc48130790"/>
      <w:r>
        <w:rPr>
          <w:rFonts w:ascii="Times New Roman" w:hAnsi="Times New Roman"/>
        </w:rPr>
        <w:t xml:space="preserve"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2"/>
      </w:r>
      <w:r>
        <w:rPr>
          <w:rFonts w:ascii="Times New Roman" w:hAnsi="Times New Roman"/>
        </w:rPr>
        <w:t xml:space="preserve"> банка-гаранта;</w:t>
      </w:r>
      <w:bookmarkEnd w:id="1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7" w:name="_Toc48130791"/>
      <w:r>
        <w:rPr>
          <w:rFonts w:ascii="Times New Roman" w:hAnsi="Times New Roman"/>
        </w:rPr>
        <w:t xml:space="preserve">если гарант имеет хотя бы 1 рейтинг на уровне не ниже A-(RU)/ruA-: 5% от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3"/>
      </w:r>
      <w:r>
        <w:rPr>
          <w:rFonts w:ascii="Times New Roman" w:hAnsi="Times New Roman"/>
        </w:rPr>
        <w:t xml:space="preserve"> банка-гаранта;</w:t>
      </w:r>
      <w:bookmarkEnd w:id="1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остальных случаях: 2% от капитала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4"/>
      </w:r>
      <w:r>
        <w:rPr>
          <w:rFonts w:ascii="Times New Roman" w:hAnsi="Times New Roman"/>
        </w:rPr>
        <w:t xml:space="preserve"> </w:t>
      </w:r>
      <w:bookmarkStart w:id="18" w:name="_Toc48130792"/>
      <w:r>
        <w:rPr>
          <w:rFonts w:ascii="Times New Roman" w:hAnsi="Times New Roman"/>
        </w:rPr>
        <w:t xml:space="preserve">банка-гаранта.</w:t>
      </w:r>
      <w:bookmarkEnd w:id="17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9" w:name="_Toc48130794"/>
      <w:r>
        <w:rPr>
          <w:rFonts w:ascii="Times New Roman" w:hAnsi="Times New Roman"/>
        </w:rPr>
        <w:t xml:space="preserve">Соответствие банка-гаранта установленным требованиям проверяется на дату выдачи банковской гарантии.</w:t>
      </w:r>
      <w:bookmarkEnd w:id="1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Если в период дейс</w:t>
      </w:r>
      <w:r>
        <w:rPr>
          <w:sz w:val="24"/>
        </w:rPr>
        <w:t xml:space="preserve">твия независимой гарантии, выданной в обеспечение исполнения обязательств по договору (либо возврата аванса), заключенному в рамках Спецторгов,  гарант исключен из перечня, предусмотренного ч.1 ст.45 Федерального закона от 05.04.2013 № 44-ФЗ «О контрактной</w:t>
      </w:r>
      <w:r>
        <w:rPr>
          <w:sz w:val="24"/>
        </w:rPr>
        <w:t xml:space="preserve"> системе в сфере закупок товаров, работ, услуг для обеспечения государственных и муниципальных нужд» Контрагент должен обеспечить замену гарантии на гарантию, соответствующую установленным требованиям в течение 10 рабочих дней со дня исключения из перечня.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Если в период действия банковской гарантии банк-гарант перестанет соответствовать</w:t>
      </w:r>
      <w:r>
        <w:rPr>
          <w:sz w:val="24"/>
        </w:rPr>
        <w:t xml:space="preserve"> одному или нескольким из указанных требований Контрагент должен обеспечить замену банковской гарантии на банковскую гарантию банка, соответствующего указанным требованиям в течении 10 рабочих дней со дня соответствующих изменений либо требований Общества.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Гарантия должна быть выдана в письменной форме в виде оригинала на бумажном носителе.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передаче гарантии (на бумажном носителе) Сторонами подписывается акт приема-передачи гарантии на экспертизу по форме, приведенной в Приложении № ___.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вправе осуществлять экспертизу (проверку) представленной гарантии. Проверка га</w:t>
      </w:r>
      <w:r>
        <w:rPr>
          <w:sz w:val="24"/>
        </w:rPr>
        <w:t xml:space="preserve">рантии осуществляется в течение 10 дней с момента ее получения. Гарантия считается предоставленной Контрагентом по окончании проверки при условии отсутствия фактов фальсификации гарантии, отсутствия фактов несоответствия гарантии установленным требованиям.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По завершении экспертизы Общество направляет Контрагенту уведомление о принятии гарантии (или стороны подписывают соответствующий акт приема-передачи) либо мотивированный отказ от ее принятия с требованием устранения выявленных несоответствий.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выявлении фактов несоответствия гарантии установленным требованиям Общество вправе не принять гарантию. В таких случаях гарантия не считается предоставленной и подлежит возврату Контрагенту.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не принимает гарантию, если будут выявлены факты невыдачи или фальсификации гарантии. Экспертиза считается проведенной только при условии подтверждения факта выдачи рассматриваемой гарантии.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По мотивированной просьбе Контрагента Общество вправе продлить предусмотренные Договором сроки предоставления Обществу финансового обеспечения.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/>
      <w:bookmarkEnd w:id="19"/>
      <w:r>
        <w:rPr>
          <w:sz w:val="24"/>
        </w:rPr>
        <w:t xml:space="preserve">В случае, если предоставленная Контрагентом гарантия перестала отвечать установленным требованиям, Контрагент обязан заменить ее на соответствующую в течение 10 рабочих дней с даты выявления факта ее несоответствия или требования Общества.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Замена гарантии осуществляется путем приема Обществом от Контрагента новой гарантии и возврата Контрагенту ранее принятой.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Возврат оригинала гарантии Контрагенту осуществляется Обществом по инициативе Контрагента в следующих случаях: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если Контрагентом надлежащим образом исполнены обязательства, исполнение которых обеспечивала гарантия;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замене гарантии на новую в установленном порядке;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 истечении срока действия гарантии;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если Договор предусматривает возможность досрочного возврата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Оригинал гарантии выдается Обществом уполномоченному </w:t>
      </w:r>
      <w:r>
        <w:rPr>
          <w:rFonts w:ascii="Times New Roman" w:hAnsi="Times New Roman"/>
        </w:rPr>
        <w:t xml:space="preserve">представителю Контрагента с составлением акта приема-передачи, который подписывается уполномоченными представителями Сторон. В акте приема-передачи отражаются номер, дата, сумма гарантии, гарант, сведения о представителях передающей и принимающей Стороны.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Возврат Контрагенту гарантии, на основании которой Обществом предъявлены требования, не производится.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Возврат гарантии осуществляется в следующие сроки: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возврата гарантии при ее замене - в течение 2 рабочих дней с даты подтверждения соответствия новой гарантии установленным требованиям;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возврата гарантии по иным основаниям - в течение 2 рабочих дней с даты обращения Контрагента.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Вместо предоставления гарантии на исполнение обязательств по </w:t>
      </w:r>
      <w:r>
        <w:rPr>
          <w:sz w:val="24"/>
        </w:rPr>
        <w:t xml:space="preserve">Договору Контрагент 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удержание, в соответствии с условиями Договора. Обязательства по вн</w:t>
      </w:r>
      <w:r>
        <w:rPr>
          <w:sz w:val="24"/>
        </w:rPr>
        <w:t xml:space="preserve">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(право Контрагента на замену основного обязательства в соответствии со ст. 308.2 ГК РФ).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в течение 5 календарных дней с момента заключения Договора должен сообщить Обществу в письменной форме об использовании основного способа финансового обеспечения (предоставление гарантии на исполнение обя</w:t>
      </w:r>
      <w:r>
        <w:rPr>
          <w:sz w:val="24"/>
        </w:rPr>
        <w:t xml:space="preserve">зательств по Договору) либо о замене его на обязательство по внесению обеспечительного платежа или на обязательство по предоставлению поручения на удержание. Контрагент должен указать только один способ финансового обеспечения. При нарушении указанных в на</w:t>
      </w:r>
      <w:r>
        <w:rPr>
          <w:sz w:val="24"/>
        </w:rPr>
        <w:t xml:space="preserve">стоящем пункте порядка и сроков уведомления Общества о способе финансового обеспечения Контрагент 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Обеспечительный платеж и удержание не применяются для обеспечения возврата авансовых платежей.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Обеспечение исполнения обязательств по Договору в виде обеспечительного платежа должно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Обеспечительный платеж должен обеспечивать исполнение всех обязательств Контрагента в отношении Общества по Договору, как основных, так и любых иных обязательств Контрагента, включая обязательства по вып</w:t>
      </w:r>
      <w:r>
        <w:rPr>
          <w:rFonts w:ascii="Times New Roman" w:hAnsi="Times New Roman"/>
        </w:rPr>
        <w:t xml:space="preserve">олнению работ,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 Договора, компенсации убытков третьим лицам после их реклам</w:t>
      </w:r>
      <w:r>
        <w:rPr>
          <w:rFonts w:ascii="Times New Roman" w:hAnsi="Times New Roman"/>
        </w:rPr>
        <w:t xml:space="preserve">аций или требований в адрес Общества, причиной которых является несоблюдение или ненадлежащее соблюдение Контрагентом условий Договора, а также любых иных обязательств Контрагента в связи с исполнением, изменением, прекращением, действительностью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обеспечительного платежа должна составлять не менее 10%</w:t>
      </w:r>
      <w:r>
        <w:rPr>
          <w:rFonts w:ascii="Times New Roman" w:hAnsi="Times New Roman"/>
          <w:vertAlign w:val="superscript"/>
        </w:rPr>
        <w:footnoteReference w:id="85"/>
      </w:r>
      <w:r>
        <w:rPr>
          <w:rFonts w:ascii="Times New Roman" w:hAnsi="Times New Roman"/>
        </w:rPr>
        <w:t xml:space="preserve"> от Цены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Контрагент должен внести обеспечительный платеж в течение 10 рабочих дней с момента заключения Догово</w:t>
      </w:r>
      <w:r>
        <w:rPr>
          <w:rFonts w:ascii="Times New Roman" w:hAnsi="Times New Roman"/>
        </w:rPr>
        <w:t xml:space="preserve">ра на счет Общества, предусмотренный Договором (если Обществом не указан иной счет). Обеспечение исполнения обязательств по Договору со стороны Контрагента считается предоставленным с момента поступления обеспечительного платежа на расчетный счет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изменения Цены Договора, или заключения дополнительного соглашения, предусматривающего предоставлен</w:t>
      </w:r>
      <w:r>
        <w:rPr>
          <w:rFonts w:ascii="Times New Roman" w:hAnsi="Times New Roman"/>
        </w:rPr>
        <w:t xml:space="preserve">ие обеспечения исполнения обязательств по Договору впервые, Контрагент должен довнести обеспечительный платеж до суммы, указанной в п.22.2 настоящего Приложения в течение 10 рабочих дней с момента изменения Договора (заключения дополнительного соглашения).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80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Обеспечительный платеж полност</w:t>
      </w:r>
      <w:r>
        <w:rPr>
          <w:rFonts w:ascii="Times New Roman" w:hAnsi="Times New Roman"/>
        </w:rPr>
        <w:t xml:space="preserve">ью или в соответствующей части, оставшейся после взимания всех предусмотренных Договором платежей, подлежит возврату Контрагенту в течение 60 дней с момента полного выполнения Контрагентом обязательств, в обеспечение которых внесен Обеспечительный платеж, </w:t>
      </w:r>
      <w:r>
        <w:rPr>
          <w:rFonts w:ascii="Times New Roman" w:hAnsi="Times New Roman"/>
          <w:i/>
        </w:rPr>
        <w:t xml:space="preserve">в том числе подписания Сторонами Акта о выполнении всех работ по Договору (при условии подписания акта приемки законченного строительством объекта приемочной комиссией</w:t>
      </w:r>
      <w:r>
        <w:rPr>
          <w:rStyle w:val="2375"/>
          <w:rFonts w:ascii="Times New Roman" w:hAnsi="Times New Roman"/>
          <w:i/>
        </w:rPr>
        <w:footnoteReference w:id="86"/>
      </w:r>
      <w:r>
        <w:rPr>
          <w:rFonts w:ascii="Times New Roman" w:hAnsi="Times New Roman"/>
          <w:i/>
        </w:rPr>
        <w:t xml:space="preserve">), акта сверки взаимных расчетов</w:t>
      </w:r>
      <w:r>
        <w:rPr>
          <w:rStyle w:val="2375"/>
          <w:rFonts w:ascii="Times New Roman" w:hAnsi="Times New Roman"/>
          <w:i/>
        </w:rPr>
        <w:footnoteReference w:id="87"/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Обеспечение исполнения обязательств по Договору в виде удержания должно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 Удержанием обеспечивается исполнение всех обязательств Контрагента в отношении Общества по Договору, как основных, так и дополнительных, включая обязательства по вы</w:t>
      </w:r>
      <w:r>
        <w:rPr>
          <w:sz w:val="24"/>
        </w:rPr>
        <w:t xml:space="preserve">полнению работ,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Договора, компенсации убытков третьим лицам после их реклам</w:t>
      </w:r>
      <w:r>
        <w:rPr>
          <w:sz w:val="24"/>
        </w:rPr>
        <w:t xml:space="preserve">аций или требований в адрес Общества, причиной которых является несоблюдение или ненадлежащее соблюдение Контрагентом условий Договора, а также любых иных обязательств Контрагента в связи с исполнением, изменением, прекращением, действительностью Договора.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Сумма удержания по Договору составляет 10%</w:t>
      </w:r>
      <w:r>
        <w:rPr>
          <w:rStyle w:val="2375"/>
          <w:sz w:val="24"/>
        </w:rPr>
        <w:footnoteReference w:id="88"/>
      </w:r>
      <w:r>
        <w:rPr>
          <w:sz w:val="24"/>
        </w:rPr>
        <w:t xml:space="preserve"> от Цены Договора. 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удерживает из любых платежей, причитающихся Контрагенту по Договору (в т.ч. денежных средств, причитающихся в качестве оплаты выполненных работ по мере сдачи результатов выполнения этапов работ), сумму денежных с</w:t>
      </w:r>
      <w:r>
        <w:rPr>
          <w:sz w:val="24"/>
        </w:rPr>
        <w:t xml:space="preserve">редств, соответствующую  сумме удержания по Договору. По достижении удержанной суммы размера, указанного в настоящем пункте, финансовое обеспечение со стороны Контрагента считается предоставленным. В случае использования Контрагентом удержания в качестве с</w:t>
      </w:r>
      <w:r>
        <w:rPr>
          <w:sz w:val="24"/>
        </w:rPr>
        <w:t xml:space="preserve">пособа финансового обеспечения Общество при возникновении у него необходимости вправе потребовать от Контрагента подтверждения поручения на удержание в отношении конкретных удерживаемых сумм, Контрагент обязуется предоставить соответствующее подтверждение.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 случае изменения Цены До</w:t>
      </w:r>
      <w:r>
        <w:rPr>
          <w:sz w:val="24"/>
        </w:rPr>
        <w:t xml:space="preserve">говора, или заключения дополнительного соглашения, предусматривающего предоставление финансового обеспечения впервые, Общество удерживает дополнительно денежные средства до достижения удерживаемой суммой размера, указанного в п. 23.2 настоящего Приложения.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Удержанные средства п</w:t>
      </w:r>
      <w:r>
        <w:rPr>
          <w:sz w:val="24"/>
        </w:rPr>
        <w:t xml:space="preserve">олностью или в соответствующей части, оставшейся после взимания всех предусмотренных Договором платежей, подлежит возврату Контрагенту в течение 60 дней с момента полного исполнения Контрагентом обязательств, в обеспечение которых производилось удержание, </w:t>
      </w:r>
      <w:r>
        <w:rPr>
          <w:i/>
          <w:sz w:val="24"/>
        </w:rPr>
        <w:t xml:space="preserve">в том числе подписания Сторонами Акта о выполнении всех работ по Договору (при условии подписания акта приемки законченного строительством объекта приемочной комиссией</w:t>
      </w:r>
      <w:r>
        <w:rPr>
          <w:rStyle w:val="2375"/>
          <w:i/>
          <w:sz w:val="24"/>
        </w:rPr>
        <w:footnoteReference w:id="89"/>
      </w:r>
      <w:r>
        <w:rPr>
          <w:i/>
          <w:sz w:val="24"/>
        </w:rPr>
        <w:t xml:space="preserve">), акта сверки взаимных расчетов</w:t>
      </w:r>
      <w:r>
        <w:rPr>
          <w:rStyle w:val="2375"/>
          <w:i/>
          <w:sz w:val="24"/>
        </w:rPr>
        <w:footnoteReference w:id="90"/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вправе при наличии согл</w:t>
      </w:r>
      <w:r>
        <w:rPr>
          <w:sz w:val="24"/>
        </w:rPr>
        <w:t xml:space="preserve">асия Общества в течение срока исполнения обязательств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</w:t>
      </w:r>
      <w:r>
        <w:rPr>
          <w:sz w:val="24"/>
        </w:rPr>
        <w:t xml:space="preserve">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Общества возникает обязанность вернуть денежные средства Контраген</w:t>
      </w:r>
      <w:r>
        <w:rPr>
          <w:sz w:val="24"/>
        </w:rPr>
        <w:t xml:space="preserve">та (например, внесенные в качестве обеспечительного платежа), то такая обязанность возникает у Общества по истечении месяца с момента фактического предоставления Контрагентом нового, согласованного Сторонами обеспечения исполнения обязательств по Договору.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использовании любого из способов обеспечения в случае увеличения Цены Договора Контрагент обязуется восполнить обеспечение до размера, уст</w:t>
      </w:r>
      <w:r>
        <w:rPr>
          <w:sz w:val="24"/>
        </w:rPr>
        <w:t xml:space="preserve">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10 рабочих дней с момента увеличения Цены Договора.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Непредставление Контрагентом обеспечения исполнения обязательств по Договору или обеспечения возврата авансовых платежей,</w:t>
      </w:r>
      <w:r>
        <w:rPr>
          <w:sz w:val="24"/>
          <w:vertAlign w:val="superscript"/>
        </w:rPr>
        <w:footnoteReference w:id="91"/>
      </w:r>
      <w:r>
        <w:rPr>
          <w:sz w:val="24"/>
        </w:rPr>
        <w:t xml:space="preserve"> а равно представление с нарушением установленных в Договоре требований и условий является основанием для приостановления со стороны Общества оплаты по Договору до момента исполнения Контрагентом обязательств по предоставлению обеспечения,</w:t>
      </w:r>
      <w:r>
        <w:rPr>
          <w:sz w:val="24"/>
          <w:vertAlign w:val="superscript"/>
        </w:rPr>
        <w:footnoteReference w:id="92"/>
      </w:r>
      <w:r>
        <w:rPr>
          <w:sz w:val="24"/>
        </w:rPr>
        <w:t xml:space="preserve"> либо, по усмотрению Общества, для отказа от исполнения Договора в одностороннем внесудебном порядке без возмещения убытков Контрагента.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по мотивированной просьбе Контрагента вправе уменьшить сумму предоставленного Контрагентом обеспечения исполнения обязательств по Договору с учетом объема фактически выполненных обязательств Контрагента по Договору </w:t>
      </w:r>
      <w:r>
        <w:rPr>
          <w:iCs/>
          <w:sz w:val="24"/>
          <w:lang w:val="en-US" w:eastAsia="en-US"/>
        </w:rPr>
        <w:t xml:space="preserve">до величины, не меньшей </w:t>
      </w:r>
      <w:r>
        <w:rPr>
          <w:iCs/>
          <w:sz w:val="24"/>
          <w:lang w:eastAsia="en-US"/>
        </w:rPr>
        <w:t xml:space="preserve">чем </w:t>
      </w:r>
      <w:r>
        <w:rPr>
          <w:sz w:val="24"/>
          <w:lang w:val="en-US" w:eastAsia="en-US"/>
        </w:rPr>
        <w:t xml:space="preserve">10%</w:t>
      </w:r>
      <w:r>
        <w:rPr>
          <w:sz w:val="24"/>
          <w:vertAlign w:val="superscript"/>
          <w:lang w:val="en-US" w:eastAsia="en-US"/>
        </w:rPr>
        <w:footnoteReference w:id="93"/>
      </w:r>
      <w:r>
        <w:rPr>
          <w:sz w:val="24"/>
          <w:lang w:val="en-US" w:eastAsia="en-US"/>
        </w:rPr>
        <w:t xml:space="preserve">  </w:t>
      </w:r>
      <w:r>
        <w:rPr>
          <w:iCs/>
          <w:sz w:val="24"/>
          <w:lang w:val="en-US" w:eastAsia="en-US"/>
        </w:rPr>
        <w:t xml:space="preserve">от стоимости оставшихся к выполнению работ (с </w:t>
      </w:r>
      <w:r>
        <w:rPr>
          <w:iCs/>
          <w:sz w:val="24"/>
          <w:lang w:eastAsia="en-US"/>
        </w:rPr>
        <w:t xml:space="preserve">учетом </w:t>
      </w:r>
      <w:r>
        <w:rPr>
          <w:iCs/>
          <w:sz w:val="24"/>
          <w:lang w:val="en-US" w:eastAsia="en-US"/>
        </w:rPr>
        <w:t xml:space="preserve">НДС).  При этом размер финансового обеспечения будет сокращаться до размера, указанного в уведомлении Заказчика</w:t>
      </w:r>
      <w:r>
        <w:rPr>
          <w:sz w:val="24"/>
        </w:rPr>
        <w:t xml:space="preserve">.  </w:t>
      </w:r>
      <w:r>
        <w:rPr>
          <w:sz w:val="24"/>
        </w:rPr>
      </w:r>
      <w:r>
        <w:rPr>
          <w:sz w:val="24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  <w:vertAlign w:val="superscript"/>
        </w:rPr>
        <w:footnoteReference w:id="94"/>
      </w:r>
      <w:r>
        <w:rPr>
          <w:sz w:val="24"/>
        </w:rPr>
        <w:t xml:space="preserve">Обеспечение исполнения договора может быть представлено в форме поручительства аффилированных с такими организациями лиц (далее - Аффилированные лица):</w:t>
      </w:r>
      <w:r>
        <w:rPr>
          <w:sz w:val="24"/>
        </w:rPr>
      </w:r>
      <w:r>
        <w:rPr>
          <w:sz w:val="24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 обладающих кредитным рейтингом </w:t>
      </w:r>
      <w:r>
        <w:rPr>
          <w:rFonts w:ascii="Times New Roman" w:hAnsi="Times New Roman"/>
        </w:rPr>
        <w:t xml:space="preserve">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«Рейтинговое Агентство «Эксперт РА»;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 представивших Обществу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 принявших обязательство письменно извещать Общество в течение 3 рабочих дней со дня наступления следующих событий: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принятие решения о реорганизации или ликвидации Аффилированного лица;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принятие судом к производству заявления о признании Аффилированного лица несостоятельным (банкротом).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8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наступлении одного из указанных событий Общество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1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Затраты на осуществление обеспечения обязательств Контрагента по Договору производятся Контрагентом за счет собственных средств и не компенсируются Обществом, если иное прямо и недвусмысленно не предусмотрено законодательством или иными условиями Договора.</w:t>
      </w:r>
      <w:r>
        <w:rPr>
          <w:sz w:val="24"/>
        </w:rPr>
      </w:r>
      <w:r>
        <w:rPr>
          <w:sz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4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7.1.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НЕЗАВИСИМОЙ </w:t>
      </w:r>
      <w:r>
        <w:rPr>
          <w:b/>
          <w:caps/>
          <w:sz w:val="24"/>
          <w:szCs w:val="24"/>
        </w:rPr>
        <w:t xml:space="preserve">гарантии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Указываются формы </w:t>
      </w:r>
      <w:r>
        <w:rPr>
          <w:sz w:val="24"/>
          <w:szCs w:val="24"/>
        </w:rPr>
        <w:t xml:space="preserve">независимых </w:t>
      </w:r>
      <w:r>
        <w:rPr>
          <w:sz w:val="24"/>
          <w:szCs w:val="24"/>
        </w:rPr>
        <w:t xml:space="preserve">гарантий в соответствии с ОРД Общества</w:t>
      </w:r>
      <w:r>
        <w:rPr>
          <w:rStyle w:val="2375"/>
          <w:sz w:val="24"/>
          <w:szCs w:val="24"/>
        </w:rPr>
        <w:footnoteReference w:id="9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218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8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8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6"/>
        <w:numPr>
          <w:ilvl w:val="1"/>
          <w:numId w:val="0"/>
        </w:numPr>
        <w:jc w:val="center"/>
        <w:keepNext w:val="0"/>
        <w:spacing w:before="0" w:after="0"/>
        <w:tabs>
          <w:tab w:val="num" w:pos="0" w:leader="none"/>
        </w:tabs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  <w:br w:type="textWrapping" w:clear="all"/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2304"/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Cs w:val="24"/>
        </w:rPr>
      </w:pPr>
      <w:r>
        <w:rPr>
          <w:b/>
          <w:szCs w:val="24"/>
        </w:rPr>
        <w:t xml:space="preserve">ОСНОВНЫЕ ПОЛОЖЕНИЯ</w:t>
      </w:r>
      <w:bookmarkStart w:id="20" w:name="_Toc17466982"/>
      <w:r>
        <w:rPr>
          <w:b/>
          <w:szCs w:val="24"/>
        </w:rPr>
      </w:r>
      <w:r>
        <w:rPr>
          <w:b/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1.1 Подрядчик (Исполнитель) (далее - Подрядчик)</w:t>
      </w:r>
      <w:r>
        <w:rPr>
          <w:rStyle w:val="2375"/>
          <w:szCs w:val="24"/>
        </w:rPr>
        <w:footnoteReference w:id="96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</w:t>
      </w:r>
      <w:r>
        <w:rPr>
          <w:szCs w:val="24"/>
        </w:rPr>
        <w:t xml:space="preserve">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1.3. Заказчик по просьбе Подрядчика предоставляет ему для ознакомления: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Экологическую политику;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Руководство по системе экологического менеджмента;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значимых экологических аспектов Общества;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экологических рисков Общества;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 xml:space="preserve">I</w:t>
      </w:r>
      <w:r>
        <w:rPr>
          <w:szCs w:val="24"/>
        </w:rPr>
        <w:t xml:space="preserve">-</w:t>
      </w:r>
      <w:r>
        <w:rPr>
          <w:szCs w:val="24"/>
          <w:lang w:val="en-US"/>
        </w:rPr>
        <w:t xml:space="preserve">IV</w:t>
      </w:r>
      <w:r>
        <w:rPr>
          <w:szCs w:val="24"/>
        </w:rPr>
        <w:t xml:space="preserve"> классов опасности,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left="709"/>
        <w:rPr>
          <w:szCs w:val="24"/>
        </w:rPr>
      </w:pPr>
      <w:r>
        <w:rPr>
          <w:szCs w:val="24"/>
        </w:rPr>
        <w:t xml:space="preserve">а также сообщает о местах временного накопления отходов.</w:t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4"/>
        <w:rPr>
          <w:iCs/>
          <w:szCs w:val="24"/>
        </w:rPr>
      </w:pPr>
      <w:r>
        <w:rPr>
          <w:iCs/>
          <w:szCs w:val="24"/>
        </w:rPr>
      </w:r>
      <w:r>
        <w:rPr>
          <w:iCs/>
          <w:szCs w:val="24"/>
        </w:rPr>
      </w:r>
      <w:r>
        <w:rPr>
          <w:iCs/>
          <w:szCs w:val="24"/>
        </w:rPr>
      </w:r>
    </w:p>
    <w:p>
      <w:pPr>
        <w:pStyle w:val="2304"/>
        <w:keepNext/>
        <w:spacing w:after="120"/>
        <w:tabs>
          <w:tab w:val="left" w:pos="360" w:leader="none"/>
          <w:tab w:val="left" w:pos="540" w:leader="none"/>
        </w:tabs>
        <w:rPr>
          <w:b/>
          <w:bCs/>
          <w:iCs/>
          <w:szCs w:val="24"/>
        </w:rPr>
        <w:outlineLvl w:val="1"/>
      </w:pPr>
      <w:r>
        <w:rPr>
          <w:b/>
          <w:bCs/>
          <w:iCs/>
          <w:szCs w:val="24"/>
        </w:rPr>
        <w:t xml:space="preserve">2.</w:t>
        <w:tab/>
      </w:r>
      <w:bookmarkStart w:id="21" w:name="_Toc172097326"/>
      <w:r/>
      <w:bookmarkStart w:id="22" w:name="_Toc17466979"/>
      <w:r>
        <w:rPr>
          <w:b/>
          <w:bCs/>
          <w:iCs/>
          <w:szCs w:val="24"/>
        </w:rPr>
        <w:t xml:space="preserve">ОБЯЗАННОСТИ ПОДРЯДЧИКА</w:t>
      </w:r>
      <w:bookmarkEnd w:id="20"/>
      <w:r/>
      <w:bookmarkEnd w:id="21"/>
      <w:r>
        <w:rPr>
          <w:b/>
          <w:bCs/>
          <w:iCs/>
          <w:szCs w:val="24"/>
        </w:rPr>
        <w:t xml:space="preserve"> В ОБЛАСТИ ООС</w:t>
      </w:r>
      <w:r>
        <w:rPr>
          <w:b/>
          <w:bCs/>
          <w:iCs/>
          <w:szCs w:val="24"/>
        </w:rPr>
      </w:r>
      <w:r>
        <w:rPr>
          <w:b/>
          <w:bCs/>
          <w:iCs/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</w:t>
      </w:r>
      <w:r>
        <w:rPr>
          <w:szCs w:val="24"/>
        </w:rPr>
        <w:t xml:space="preserve">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</w:t>
      </w:r>
      <w:r>
        <w:rPr>
          <w:szCs w:val="24"/>
        </w:rPr>
        <w:t xml:space="preserve">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</w:t>
      </w:r>
      <w:r>
        <w:rPr>
          <w:szCs w:val="24"/>
        </w:rPr>
        <w:t xml:space="preserve">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</w:t>
      </w:r>
      <w:r>
        <w:rPr>
          <w:szCs w:val="24"/>
        </w:rPr>
        <w:t xml:space="preserve">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2.4 Подрядчик обязан привлекать для исполнения работ</w:t>
      </w:r>
      <w:r>
        <w:rPr>
          <w:szCs w:val="24"/>
        </w:rPr>
        <w:t xml:space="preserve">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  <w:r>
        <w:rPr>
          <w:szCs w:val="24"/>
        </w:rPr>
      </w:r>
      <w:r>
        <w:rPr>
          <w:szCs w:val="24"/>
        </w:rPr>
      </w:r>
    </w:p>
    <w:p>
      <w:pPr>
        <w:pStyle w:val="2304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/>
      <w:bookmarkEnd w:id="22"/>
      <w:r>
        <w:rPr>
          <w:szCs w:val="24"/>
        </w:rPr>
        <w:t xml:space="preserve">2.6. По</w:t>
      </w:r>
      <w:r>
        <w:rPr>
          <w:szCs w:val="24"/>
        </w:rPr>
        <w:t xml:space="preserve">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  <w:t xml:space="preserve">2.7. При осуществлении обязательств по Договору Подрядчик обязан: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сбор, бе</w:t>
      </w:r>
      <w:r>
        <w:rPr>
          <w:szCs w:val="24"/>
        </w:rPr>
        <w:t xml:space="preserve">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</w:t>
      </w:r>
      <w:r>
        <w:rPr>
          <w:szCs w:val="24"/>
        </w:rPr>
        <w:t xml:space="preserve">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  <w:r>
        <w:rPr>
          <w:szCs w:val="24"/>
        </w:rPr>
      </w:r>
      <w:r>
        <w:rPr>
          <w:szCs w:val="24"/>
        </w:rPr>
      </w:r>
    </w:p>
    <w:p>
      <w:pPr>
        <w:pStyle w:val="2304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прохождение профессиона</w:t>
      </w:r>
      <w:r>
        <w:rPr>
          <w:szCs w:val="24"/>
        </w:rPr>
        <w:t xml:space="preserve"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4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02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2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spacing w:line="260" w:lineRule="exact"/>
        <w:tabs>
          <w:tab w:val="left" w:pos="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4"/>
      </w:pPr>
      <w:r/>
      <w:r/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9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2375"/>
          <w:szCs w:val="24"/>
        </w:rPr>
        <w:footnoteReference w:id="97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10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</w:pPr>
      <w:r/>
      <w:r/>
    </w:p>
    <w:p>
      <w:pPr>
        <w:pStyle w:val="2304"/>
        <w:jc w:val="center"/>
        <w:rPr>
          <w:b/>
        </w:rPr>
      </w:pPr>
      <w:r/>
      <w:bookmarkStart w:id="23" w:name="_Toc432676469"/>
      <w:r/>
      <w:bookmarkStart w:id="24" w:name="_Toc441156220"/>
      <w:r/>
      <w:bookmarkStart w:id="25" w:name="_Toc459577612"/>
      <w:r/>
      <w:bookmarkStart w:id="26" w:name="_Toc460329985"/>
      <w:r/>
      <w:bookmarkStart w:id="27" w:name="_Toc464479834"/>
      <w:r/>
      <w:bookmarkStart w:id="28" w:name="_Toc477787610"/>
      <w:r/>
      <w:bookmarkStart w:id="29" w:name="_Toc307936276"/>
      <w:r>
        <w:rPr>
          <w:b/>
        </w:rPr>
        <w:t xml:space="preserve">Справка о материально-технических ресурсах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>
        <w:rPr>
          <w:rStyle w:val="2375"/>
        </w:rPr>
        <w:footnoteReference w:id="98"/>
      </w:r>
      <w:r>
        <w:rPr>
          <w:b/>
        </w:rPr>
        <w:t xml:space="preserve"> </w:t>
      </w:r>
      <w:bookmarkEnd w:id="29"/>
      <w:r>
        <w:rPr>
          <w:b/>
        </w:rPr>
      </w:r>
      <w:r>
        <w:rPr>
          <w:b/>
        </w:rPr>
      </w:r>
    </w:p>
    <w:p>
      <w:pPr>
        <w:pStyle w:val="2304"/>
        <w:jc w:val="center"/>
      </w:pPr>
      <w:r/>
      <w:r/>
    </w:p>
    <w:p>
      <w:pPr>
        <w:pStyle w:val="2304"/>
        <w:jc w:val="center"/>
      </w:pPr>
      <w:r/>
      <w:r/>
    </w:p>
    <w:p>
      <w:pPr>
        <w:pStyle w:val="2304"/>
      </w:pPr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4"/>
        </w:trPr>
        <w:tc>
          <w:tcPr>
            <w:tcW w:w="310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МТР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на МТР (собственность, аренда, иное) и реквизиты подтверждающих документов (наименование, дата, №)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center"/>
            <w:textDirection w:val="lrTb"/>
            <w:noWrap w:val="false"/>
          </w:tcPr>
          <w:p>
            <w:pPr>
              <w:pStyle w:val="23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2304"/>
      </w:pPr>
      <w:r/>
      <w:r/>
    </w:p>
    <w:p>
      <w:pPr>
        <w:pStyle w:val="2304"/>
      </w:pPr>
      <w:r>
        <w:t xml:space="preserve">Приложение: подтверждающие документы</w:t>
      </w:r>
      <w:r>
        <w:rPr>
          <w:rStyle w:val="2375"/>
        </w:rPr>
        <w:footnoteReference w:id="99"/>
      </w:r>
      <w:r/>
    </w:p>
    <w:p>
      <w:pPr>
        <w:pStyle w:val="2304"/>
      </w:pPr>
      <w:r/>
      <w:r/>
    </w:p>
    <w:p>
      <w:pPr>
        <w:pStyle w:val="2304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245"/>
        <w:gridCol w:w="146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tbl>
            <w:tblPr>
              <w:tblW w:w="7921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blPrEx/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95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</w:tbl>
    <w:p>
      <w:pPr>
        <w:pStyle w:val="2304"/>
      </w:pPr>
      <w:r/>
      <w:r/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pageBreakBefore/>
        <w:tabs>
          <w:tab w:val="left" w:pos="1134" w:leader="none"/>
        </w:tabs>
        <w:rPr>
          <w:sz w:val="24"/>
          <w:szCs w:val="24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915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11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</w:pPr>
      <w:r/>
      <w:r/>
    </w:p>
    <w:p>
      <w:pPr>
        <w:pStyle w:val="2304"/>
        <w:jc w:val="center"/>
        <w:rPr>
          <w:b/>
        </w:rPr>
      </w:pPr>
      <w:r/>
      <w:bookmarkStart w:id="30" w:name="_Toc460329986"/>
      <w:r/>
      <w:bookmarkStart w:id="31" w:name="_Toc474333307"/>
      <w:r>
        <w:rPr>
          <w:b/>
        </w:rPr>
        <w:t xml:space="preserve">Справка о кадровых ресурсах</w:t>
      </w:r>
      <w:bookmarkEnd w:id="30"/>
      <w:r/>
      <w:bookmarkEnd w:id="31"/>
      <w:r>
        <w:rPr>
          <w:rStyle w:val="2375"/>
          <w:b/>
        </w:rPr>
        <w:footnoteReference w:id="100"/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2304"/>
      </w:pPr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blPrEx/>
        <w:trPr>
          <w:trHeight w:val="76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Штатный персонал</w:t>
            </w:r>
            <w:r>
              <w:rPr>
                <w:rStyle w:val="2375"/>
              </w:rPr>
              <w:footnoteReference w:id="101"/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Подрядчик/Исполнитель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1-й субподрядчик/субисполнитель (член коллективного участника)</w:t>
            </w:r>
            <w:r>
              <w:rPr>
                <w:rStyle w:val="2375"/>
              </w:rPr>
              <w:footnoteReference w:id="102"/>
            </w:r>
            <w:r>
              <w:t xml:space="preserve"> 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2-й субподрядчик/субисполнитель (член коллективного участника)</w:t>
            </w:r>
            <w:r>
              <w:rPr>
                <w:rStyle w:val="2375"/>
              </w:rPr>
              <w:footnoteReference w:id="103"/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В т.ч. для работ/услуг по данному договору</w:t>
            </w:r>
            <w:r/>
          </w:p>
        </w:tc>
      </w:tr>
      <w:tr>
        <w:tblPrEx/>
        <w:trPr>
          <w:trHeight w:val="55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Должность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Руководящий,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Инженерно-технический,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Рабочие и специалисты,  в т.ч.: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Электромонтажники-линейщики,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105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Электромонтажники оборудования вторичных коммутаций, в т.ч. релейщики и т.п.,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Наладчики, инженеры-наладчики, чел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>
              <w:t xml:space="preserve">Прочие специальности</w:t>
            </w:r>
            <w:r>
              <w:rPr>
                <w:rStyle w:val="2375"/>
              </w:rPr>
              <w:footnoteReference w:id="104"/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textDirection w:val="lrTb"/>
            <w:noWrap w:val="false"/>
          </w:tcPr>
          <w:p>
            <w:pPr>
              <w:pStyle w:val="2304"/>
            </w:pPr>
            <w: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4"/>
            </w:pPr>
            <w:r/>
            <w:r/>
          </w:p>
        </w:tc>
      </w:tr>
    </w:tbl>
    <w:p>
      <w:pPr>
        <w:pStyle w:val="2304"/>
      </w:pPr>
      <w:r/>
      <w:r/>
    </w:p>
    <w:p>
      <w:pPr>
        <w:pStyle w:val="2304"/>
      </w:pPr>
      <w:r>
        <w:t xml:space="preserve">Приложение: подтверждающие документы</w:t>
      </w:r>
      <w:r>
        <w:rPr>
          <w:rStyle w:val="2375"/>
        </w:rPr>
        <w:footnoteReference w:id="105"/>
      </w:r>
      <w:r/>
    </w:p>
    <w:p>
      <w:pPr>
        <w:pStyle w:val="2304"/>
      </w:pPr>
      <w:r/>
      <w:r/>
    </w:p>
    <w:p>
      <w:pPr>
        <w:pStyle w:val="2304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939"/>
        <w:gridCol w:w="384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tbl>
            <w:tblPr>
              <w:tblW w:w="10615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blPrEx/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7689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5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2304"/>
              <w:jc w:val="center"/>
            </w:pPr>
            <w:r/>
            <w:r/>
          </w:p>
        </w:tc>
      </w:tr>
    </w:tbl>
    <w:p>
      <w:pPr>
        <w:pStyle w:val="2304"/>
      </w:pPr>
      <w:r/>
      <w:r/>
    </w:p>
    <w:p>
      <w:pPr>
        <w:pStyle w:val="2304"/>
        <w:jc w:val="center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 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«___»__________202_  № 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1. Защита персональных данных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Обработка персональных данных не является предметом и/или целью деятельности Исполнителя при исполнении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1.2.1. Федеральный закон от 27.07.2006 N 152-ФЗ "О персональных данных";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1.2.5. 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п.п. 1.2.1 – 1.2.5.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1.5. В случае причинени</w:t>
      </w:r>
      <w:r>
        <w:rPr>
          <w:sz w:val="24"/>
          <w:szCs w:val="24"/>
        </w:rPr>
        <w:t xml:space="preserve">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2. Права Заказчика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 Заказчик вправе: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2.1.1.</w:t>
        <w:tab/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2.1.2.</w:t>
        <w:tab/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2.1.3.</w:t>
        <w:tab/>
        <w:t xml:space="preserve">Разрешать или запрещать доступ к Информации, определять порядок и условия доступа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2.1.4.</w:t>
        <w:tab/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2.1.5.</w:t>
        <w:tab/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2.1.6.</w:t>
        <w:tab/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2.1.7.</w:t>
        <w:tab/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2.1.8.</w:t>
        <w:tab/>
        <w:t xml:space="preserve">Проводить проверки соблюдения Исполнителем обязательств по защите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2.1.9. Проводить рас</w:t>
      </w:r>
      <w:r>
        <w:rPr>
          <w:sz w:val="24"/>
          <w:szCs w:val="24"/>
        </w:rPr>
        <w:t xml:space="preserve">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3. Права и обязанности Исполнителя в части защиты информации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исключение доступа к Информации любых лиц без согласия Заказчика;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возможность использования Информации работниками Исполнителя без нарушения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 Исполнитель обязан: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3.2.1.</w:t>
        <w:tab/>
        <w:t xml:space="preserve"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3.2.2.</w:t>
        <w:tab/>
        <w:t xml:space="preserve">Вести учет лиц, получивших доступ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3.2.3.</w:t>
        <w:tab/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tabs>
          <w:tab w:val="left" w:pos="1080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3.3. </w:t>
        <w:tab/>
        <w:t xml:space="preserve">Информация может быть передана только те</w:t>
      </w:r>
      <w:r>
        <w:rPr>
          <w:sz w:val="24"/>
          <w:szCs w:val="24"/>
        </w:rPr>
        <w:t xml:space="preserve">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tabs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3.4.</w:t>
        <w:tab/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</w:t>
      </w:r>
      <w:r>
        <w:rPr>
          <w:sz w:val="24"/>
          <w:szCs w:val="24"/>
        </w:rPr>
        <w:t xml:space="preserve">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contextualSpacing/>
        <w:ind w:left="-284" w:firstLine="709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3.5.</w:t>
        <w:tab/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3.6.</w:t>
        <w:tab/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</w:t>
      </w:r>
      <w:r>
        <w:rPr>
          <w:sz w:val="24"/>
          <w:szCs w:val="24"/>
        </w:rPr>
        <w:t xml:space="preserve">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4. Ответственность за несоблюдение Требований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965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4.1.</w:t>
        <w:tab/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4.2.</w:t>
        <w:tab/>
        <w:t xml:space="preserve">В случае</w:t>
      </w:r>
      <w:r>
        <w:rPr>
          <w:sz w:val="24"/>
          <w:szCs w:val="24"/>
        </w:rPr>
        <w:t xml:space="preserve">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</w:t>
      </w:r>
      <w:r>
        <w:rPr>
          <w:sz w:val="24"/>
          <w:szCs w:val="24"/>
        </w:rPr>
        <w:t xml:space="preserve">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82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4.3.</w:t>
        <w:tab/>
        <w:t xml:space="preserve"> В случае проведении расследования фактов разглашения Информации или обстоятельств, свидетельствую</w:t>
      </w:r>
      <w:r>
        <w:rPr>
          <w:sz w:val="24"/>
          <w:szCs w:val="24"/>
        </w:rPr>
        <w:t xml:space="preserve">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4"/>
      </w:pPr>
      <w:r/>
      <w:r/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930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20"/>
        <w:gridCol w:w="411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5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4"/>
      </w:pPr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MS Mincho">
    <w:panose1 w:val="0207060902020509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</w:t>
      </w:r>
      <w:r>
        <w:rPr>
          <w:rFonts w:ascii="Times New Roman" w:hAnsi="Times New Roman"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2373"/>
        <w:ind w:firstLine="567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>
        <w:rPr>
          <w:rFonts w:ascii="Times New Roman" w:hAnsi="Times New Roman"/>
          <w:i/>
          <w:szCs w:val="24"/>
        </w:rPr>
        <w:t xml:space="preserve">ами</w:t>
      </w:r>
      <w:r>
        <w:rPr>
          <w:rFonts w:ascii="Times New Roman" w:hAnsi="Times New Roman"/>
          <w:i/>
          <w:szCs w:val="24"/>
        </w:rPr>
        <w:t xml:space="preserve">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1">
    <w:p>
      <w:pPr>
        <w:pStyle w:val="2373"/>
        <w:ind w:firstLine="567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Style w:val="2375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4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5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6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7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8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9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0">
    <w:p>
      <w:pPr>
        <w:pStyle w:val="2373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1">
    <w:p>
      <w:pPr>
        <w:pStyle w:val="2373"/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/>
    </w:p>
  </w:footnote>
  <w:footnote w:id="3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8">
    <w:p>
      <w:pPr>
        <w:pStyle w:val="2373"/>
      </w:pPr>
      <w:r>
        <w:rPr>
          <w:rStyle w:val="2375"/>
        </w:rPr>
        <w:footnoteRef/>
      </w:r>
      <w:r>
        <w:t xml:space="preserve"> Указывается один или оба документа в соответствии с условиями технического задания</w:t>
      </w:r>
      <w:r/>
    </w:p>
  </w:footnote>
  <w:footnote w:id="3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«Россети»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0">
    <w:p>
      <w:pPr>
        <w:pStyle w:val="2373"/>
        <w:ind w:firstLine="567"/>
        <w:jc w:val="both"/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5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2">
    <w:p>
      <w:pPr>
        <w:pStyle w:val="2373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53">
    <w:p>
      <w:pPr>
        <w:pStyle w:val="2373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млн.руб. до 1 000 млн.руб.– 0,01%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млн.руб. – 0,005%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54">
    <w:p>
      <w:pPr>
        <w:pStyle w:val="2373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млн.руб.  до 1 000 млн.руб.–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3"/>
      </w:pPr>
      <w:r>
        <w:rPr>
          <w:rFonts w:ascii="Times New Roman" w:hAnsi="Times New Roman"/>
        </w:rPr>
        <w:t xml:space="preserve">- при цене договора свыше 1 000 млн.руб. – 0,01%</w:t>
      </w:r>
      <w:r/>
    </w:p>
  </w:footnote>
  <w:footnote w:id="55">
    <w:p>
      <w:pPr>
        <w:pStyle w:val="2304"/>
        <w:jc w:val="both"/>
        <w:shd w:val="clear" w:color="auto" w:fill="ffffff"/>
      </w:pPr>
      <w:r>
        <w:rPr>
          <w:rStyle w:val="2375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«Россети» включать следующие условия разрешения споров:</w:t>
      </w:r>
      <w:r/>
    </w:p>
    <w:p>
      <w:pPr>
        <w:pStyle w:val="2304"/>
        <w:jc w:val="both"/>
        <w:shd w:val="clear" w:color="auto" w:fill="ffffff"/>
        <w:rPr>
          <w:color w:val="282828"/>
        </w:rPr>
      </w:pPr>
      <w:r>
        <w:t xml:space="preserve">«11</w:t>
      </w:r>
      <w:r>
        <w:rPr>
          <w:color w:val="282828"/>
        </w:rPr>
        <w:t xml:space="preserve">.1. Все споры, разногласия, претензии и требования, возникающие </w:t>
      </w:r>
      <w:r>
        <w:rPr>
          <w:color w:val="282828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color w:val="282828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11.3. При недостижении Сторонами соглашения об урегули</w:t>
      </w:r>
      <w:r>
        <w:rPr>
          <w:color w:val="282828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  <w:r>
        <w:rPr>
          <w:color w:val="282828"/>
        </w:rPr>
      </w:r>
    </w:p>
    <w:p>
      <w:pPr>
        <w:pStyle w:val="2304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  <w:r>
        <w:rPr>
          <w:color w:val="282828"/>
        </w:rPr>
      </w:r>
    </w:p>
    <w:p>
      <w:pPr>
        <w:pStyle w:val="2373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</w:t>
      </w:r>
      <w:r>
        <w:rPr>
          <w:rFonts w:ascii="Times New Roman" w:hAnsi="Times New Roman" w:eastAsia="Times New Roman"/>
          <w:color w:val="282828"/>
          <w:lang w:eastAsia="ru-RU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56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9">
    <w:p>
      <w:pPr>
        <w:pStyle w:val="2373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</w:t>
      </w:r>
      <w:r>
        <w:rPr>
          <w:rFonts w:ascii="Times New Roman" w:hAnsi="Times New Roman"/>
        </w:rPr>
        <w:t xml:space="preserve">на создание (модернизацию / интеграцию / доработку) или эксплуатационно-техническое</w:t>
        <w:tab/>
        <w:t xml:space="preserve">обслуживание</w:t>
        <w:tab/>
        <w:t xml:space="preserve">(сопровождение) информационных систем и сетей связи</w:t>
      </w:r>
      <w:r/>
    </w:p>
  </w:footnote>
  <w:footnote w:id="6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4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и/или протоколом закупочного органа ПАО «Россети МР» (далее - Общество).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5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Здесь и далее по тексту Контрагентом является Исполнитель по Договору.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6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и/или протоколом закупочного органа Общества.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7">
    <w:p>
      <w:pPr>
        <w:pStyle w:val="2304"/>
        <w:ind w:firstLine="709"/>
        <w:jc w:val="both"/>
      </w:pPr>
      <w:r>
        <w:rPr>
          <w:rStyle w:val="2375"/>
        </w:rPr>
        <w:footnoteRef/>
      </w:r>
      <w:r>
        <w:t xml:space="preserve"> Текст курсивом включается в соответствии с организационно-распорядительным документом и/или протоколом закупочного органа Общества, если предусмотрен аванс по Договору. </w:t>
      </w:r>
      <w:r/>
    </w:p>
    <w:p>
      <w:pPr>
        <w:pStyle w:val="2304"/>
        <w:ind w:firstLine="709"/>
        <w:jc w:val="both"/>
      </w:pPr>
      <w:r>
        <w:t xml:space="preserve">По договорам, заключаемым по итогам спецторгов с субъектами МСП, банковская гарантия на возврат авансовых платежей не предусматривается, используется только банковская гарантия на исполнение обязательств по договору (п. 25 Полож</w:t>
      </w:r>
      <w:r>
        <w:t xml:space="preserve">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11.1</w:t>
      </w:r>
      <w:r>
        <w:t xml:space="preserve">2.2014 № 1352) - размер обеспечения исполнения обязательств:)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аванса). </w:t>
      </w:r>
      <w:r/>
    </w:p>
  </w:footnote>
  <w:footnote w:id="68">
    <w:p>
      <w:pPr>
        <w:pStyle w:val="2304"/>
        <w:ind w:firstLine="709"/>
        <w:jc w:val="both"/>
      </w:pPr>
      <w:r>
        <w:rPr>
          <w:vertAlign w:val="superscript"/>
        </w:rPr>
        <w:footnoteRef/>
      </w:r>
      <w:r>
        <w:t xml:space="preserve"> Условия данного пункта применяются, если Договором предусмотрена выплата аванса.</w:t>
      </w:r>
      <w:r/>
    </w:p>
  </w:footnote>
  <w:footnote w:id="69">
    <w:p>
      <w:pPr>
        <w:pStyle w:val="2304"/>
        <w:ind w:firstLine="709"/>
        <w:jc w:val="both"/>
      </w:pPr>
      <w:r>
        <w:rPr>
          <w:vertAlign w:val="superscript"/>
        </w:rPr>
        <w:footnoteRef/>
      </w:r>
      <w:r>
        <w:t xml:space="preserve"> По договорам, заключаемым по результатам спецторгов, предоставляется Независимая гарантия, в иных случая предоставляется Банковская гарантия</w:t>
      </w:r>
      <w:r/>
    </w:p>
  </w:footnote>
  <w:footnote w:id="70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  <w:sz w:val="22"/>
          <w:szCs w:val="22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гарантии устанавливается организационно-распорядительным документом Общества и включается в состав закупочной документации.</w: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</w:footnote>
  <w:footnote w:id="71">
    <w:p>
      <w:pPr>
        <w:pStyle w:val="2304"/>
        <w:ind w:firstLine="709"/>
        <w:jc w:val="both"/>
      </w:pPr>
      <w:r>
        <w:rPr>
          <w:rStyle w:val="2375"/>
        </w:rPr>
        <w:footnoteRef/>
      </w:r>
      <w:r>
        <w:t xml:space="preserve"> По договорам, заключаемым по результатам спецторгов, предоставляется Независимая гарантия, в иных случая предоставляется Банковская гарантия</w:t>
      </w:r>
      <w:r/>
    </w:p>
  </w:footnote>
  <w:footnote w:id="72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не выбран иной способ обеспечения в соответствии с условиями Договора и настоящим приложением.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3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гарантии устанавливается организационно-распорядительным документом Общество и включается в состав закупочной документации.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4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04"/>
        <w:ind w:firstLine="709"/>
        <w:jc w:val="both"/>
      </w:pPr>
      <w:r>
        <w:t xml:space="preserve">По договорам, заключаемым по итогам спецторгов с субъектами МСП  сумма обеспечения определяется с учетом п. 25 Пол</w:t>
      </w:r>
      <w:r>
        <w:t xml:space="preserve">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11</w:t>
      </w:r>
      <w:r>
        <w:t xml:space="preserve">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 </w:t>
      </w:r>
      <w:r/>
    </w:p>
  </w:footnote>
  <w:footnote w:id="75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rPr>
          <w:rFonts w:ascii="Times New Roman" w:hAnsi="Times New Roman"/>
        </w:rP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rPr>
          <w:rFonts w:ascii="Times New Roman" w:hAnsi="Times New Roman"/>
        </w:rP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6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Данные по банку на последнюю отчетную дату http://cbr.ru/banking_sector/credit/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7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Данные по банку на последнюю отчетную дату http://cbr.ru/banking_sector/credit/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8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9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Информация подлежит опубликованию на официальном сайте ПАО «Россети Московский регион»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"http://www.moesk.ru"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 xml:space="preserve">www. rossetimr.ru 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(https://rossetimr.ru/zakupki/torgovo-zakupochnye-protsedury/bank/)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0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Информация на официальном сайте Федеральных арбитражных судов Российской Федерации http://www.arbitr.ru/ . Данный буллит используется только по независимым гарантиям на возврат авансовых платежей и исполнения обязательств по договорам.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1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Согласование независимых гарантий, предоставляемых</w:t>
      </w:r>
      <w:r>
        <w:rPr>
          <w:rFonts w:ascii="Times New Roman" w:hAnsi="Times New Roman"/>
        </w:rPr>
        <w:t xml:space="preserve"> в качестве обеспечения исполнения договора, заключаемого по результатам закупки, которая не относится к Спецторгам, осуществляется независимо от уровня концентрации риска по банку-гаранту на момент поступления независимой гарантии на согласование Общество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2">
    <w:p>
      <w:pPr>
        <w:pStyle w:val="2373"/>
        <w:ind w:firstLine="709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официальных источников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3">
    <w:p>
      <w:pPr>
        <w:pStyle w:val="237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4">
    <w:p>
      <w:pPr>
        <w:pStyle w:val="237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5">
    <w:p>
      <w:pPr>
        <w:pStyle w:val="2373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04"/>
        <w:ind w:firstLine="709"/>
        <w:jc w:val="both"/>
      </w:pPr>
      <w: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/>
    </w:p>
  </w:footnote>
  <w:footnote w:id="86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7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применяется к договорам капитального строительства, в т.ч. если подписание соответствующих актов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8"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rPr>
          <w:rFonts w:ascii="Times New Roman" w:hAnsi="Times New Roman"/>
        </w:rP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rPr>
          <w:rFonts w:ascii="Times New Roman" w:hAnsi="Times New Roman"/>
        </w:rP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9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0">
    <w:p>
      <w:pPr>
        <w:pStyle w:val="2373"/>
        <w:ind w:firstLine="708"/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применяется к договорам капитального строительства, в т.ч. если подписание соответствующих актов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1">
    <w:p>
      <w:pPr>
        <w:pStyle w:val="2373"/>
        <w:ind w:left="142" w:firstLine="567"/>
        <w:jc w:val="both"/>
        <w:tabs>
          <w:tab w:val="left" w:pos="-142" w:leader="none"/>
        </w:tabs>
        <w:rPr>
          <w:rFonts w:ascii="Times New Roman" w:hAnsi="Times New Roman"/>
          <w:b/>
          <w:sz w:val="22"/>
          <w:szCs w:val="22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данное обеспечение предусмотрено договором.</w: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</w:footnote>
  <w:footnote w:id="92">
    <w:p>
      <w:pPr>
        <w:pStyle w:val="2373"/>
        <w:ind w:left="142" w:firstLine="567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обеспечение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3">
    <w:p>
      <w:pPr>
        <w:pStyle w:val="2373"/>
        <w:ind w:left="142" w:firstLine="567"/>
        <w:jc w:val="both"/>
        <w:tabs>
          <w:tab w:val="left" w:pos="-142" w:leader="none"/>
        </w:tabs>
        <w:rPr>
          <w:rStyle w:val="2375"/>
          <w:rFonts w:ascii="Times New Roman" w:hAnsi="Times New Roman"/>
          <w:b/>
          <w:sz w:val="22"/>
          <w:szCs w:val="22"/>
        </w:rPr>
      </w:pPr>
      <w:r>
        <w:rPr>
          <w:rStyle w:val="2375"/>
          <w:rFonts w:ascii="Times New Roman" w:hAnsi="Times New Roman"/>
        </w:rPr>
        <w:footnoteRef/>
      </w:r>
      <w:r>
        <w:rPr>
          <w:rStyle w:val="2375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</w:t>
      </w:r>
      <w:r>
        <w:rPr>
          <w:rFonts w:ascii="Times New Roman" w:hAnsi="Times New Roman"/>
        </w:rPr>
        <w:t xml:space="preserve">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 декабря 2014 г. № 1352, то указывается 5%.</w:t>
      </w:r>
      <w:r>
        <w:rPr>
          <w:rStyle w:val="2375"/>
          <w:rFonts w:ascii="Times New Roman" w:hAnsi="Times New Roman"/>
          <w:b/>
          <w:sz w:val="22"/>
          <w:szCs w:val="22"/>
        </w:rPr>
      </w:r>
      <w:r>
        <w:rPr>
          <w:rStyle w:val="2375"/>
          <w:rFonts w:ascii="Times New Roman" w:hAnsi="Times New Roman"/>
          <w:b/>
          <w:sz w:val="22"/>
          <w:szCs w:val="22"/>
        </w:rPr>
      </w:r>
    </w:p>
  </w:footnote>
  <w:footnote w:id="94">
    <w:p>
      <w:pPr>
        <w:pStyle w:val="2373"/>
        <w:ind w:left="142" w:firstLine="567"/>
        <w:jc w:val="both"/>
        <w:tabs>
          <w:tab w:val="left" w:pos="-142" w:leader="none"/>
        </w:tabs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только в случае, если по результатам закупки договор заключается с организациями, в отношении которых иностранными государствами введены огр</w:t>
      </w:r>
      <w:r>
        <w:rPr>
          <w:rFonts w:ascii="Times New Roman" w:hAnsi="Times New Roman"/>
        </w:rPr>
        <w:t xml:space="preserve">аничительные меры, а также организациями, в отношении бенефициарных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меры.</w:t>
      </w:r>
      <w:r/>
    </w:p>
  </w:footnote>
  <w:footnote w:id="9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Style w:val="237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Привести форму банковской гарантии в соответствии с действующими ОРД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6">
    <w:p>
      <w:pPr>
        <w:pStyle w:val="2373"/>
      </w:pPr>
      <w:r>
        <w:rPr>
          <w:rStyle w:val="2375"/>
        </w:rPr>
        <w:footnoteRef/>
      </w:r>
      <w:r>
        <w:t xml:space="preserve"> Наименование стороны приводится в соответствии с видом договора</w:t>
      </w:r>
      <w:r/>
    </w:p>
  </w:footnote>
  <w:footnote w:id="97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8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9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0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1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2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3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4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5">
    <w:p>
      <w:pPr>
        <w:pStyle w:val="237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32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21</w:t>
    </w:r>
    <w:r>
      <w:fldChar w:fldCharType="end"/>
    </w:r>
    <w:r/>
  </w:p>
  <w:p>
    <w:pPr>
      <w:pStyle w:val="232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32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46</w:t>
    </w:r>
    <w:r>
      <w:fldChar w:fldCharType="end"/>
    </w:r>
    <w:r/>
  </w:p>
  <w:p>
    <w:pPr>
      <w:pStyle w:val="232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7" w:hanging="870"/>
      </w:p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1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357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5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0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3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pStyle w:val="238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2378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2380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238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238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238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40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5" w:hanging="425"/>
        <w:tabs>
          <w:tab w:val="num" w:pos="785" w:leader="none"/>
        </w:tabs>
      </w:pPr>
      <w:rPr>
        <w:rFonts w:ascii="Wingdings" w:hAnsi="Wingdings"/>
        <w:b w:val="0"/>
        <w:i w:val="0"/>
        <w:color w:val="00000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375" w:hanging="360"/>
        <w:tabs>
          <w:tab w:val="num" w:pos="1375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95" w:hanging="360"/>
        <w:tabs>
          <w:tab w:val="num" w:pos="209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15" w:hanging="360"/>
        <w:tabs>
          <w:tab w:val="num" w:pos="281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35" w:hanging="360"/>
        <w:tabs>
          <w:tab w:val="num" w:pos="3535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55" w:hanging="360"/>
        <w:tabs>
          <w:tab w:val="num" w:pos="425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75" w:hanging="360"/>
        <w:tabs>
          <w:tab w:val="num" w:pos="497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95" w:hanging="360"/>
        <w:tabs>
          <w:tab w:val="num" w:pos="5695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15" w:hanging="360"/>
        <w:tabs>
          <w:tab w:val="num" w:pos="6415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color w:val="000000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4">
    <w:abstractNumId w:val="5"/>
  </w:num>
  <w:num w:numId="5">
    <w:abstractNumId w:val="20"/>
  </w:num>
  <w:num w:numId="6">
    <w:abstractNumId w:val="23"/>
  </w:num>
  <w:num w:numId="7">
    <w:abstractNumId w:val="24"/>
  </w:num>
  <w:num w:numId="8">
    <w:abstractNumId w:val="2"/>
  </w:num>
  <w:num w:numId="9">
    <w:abstractNumId w:val="6"/>
  </w:num>
  <w:num w:numId="10">
    <w:abstractNumId w:val="19"/>
  </w:num>
  <w:num w:numId="11">
    <w:abstractNumId w:val="21"/>
  </w:num>
  <w:num w:numId="12">
    <w:abstractNumId w:val="1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4"/>
  </w:num>
  <w:num w:numId="20">
    <w:abstractNumId w:val="10"/>
  </w:num>
  <w:num w:numId="21">
    <w:abstractNumId w:val="15"/>
  </w:num>
  <w:num w:numId="22">
    <w:abstractNumId w:val="9"/>
  </w:num>
  <w:num w:numId="23">
    <w:abstractNumId w:val="8"/>
  </w:num>
  <w:num w:numId="24">
    <w:abstractNumId w:val="16"/>
  </w:num>
  <w:num w:numId="25">
    <w:abstractNumId w:val="11"/>
  </w:num>
  <w:num w:numId="26">
    <w:abstractNumId w:val="3"/>
  </w:num>
  <w:num w:numId="27">
    <w:abstractNumId w:val="2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126">
    <w:name w:val="Heading 1"/>
    <w:basedOn w:val="2304"/>
    <w:next w:val="2304"/>
    <w:link w:val="21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2127">
    <w:name w:val="Heading 1 Char"/>
    <w:link w:val="2126"/>
    <w:uiPriority w:val="9"/>
    <w:rPr>
      <w:rFonts w:ascii="Arial" w:hAnsi="Arial" w:eastAsia="Arial" w:cs="Arial"/>
      <w:sz w:val="40"/>
      <w:szCs w:val="40"/>
    </w:rPr>
  </w:style>
  <w:style w:type="paragraph" w:styleId="2128">
    <w:name w:val="Heading 2"/>
    <w:basedOn w:val="2304"/>
    <w:next w:val="2304"/>
    <w:link w:val="21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2129">
    <w:name w:val="Heading 2 Char"/>
    <w:link w:val="2128"/>
    <w:uiPriority w:val="9"/>
    <w:rPr>
      <w:rFonts w:ascii="Arial" w:hAnsi="Arial" w:eastAsia="Arial" w:cs="Arial"/>
      <w:sz w:val="34"/>
    </w:rPr>
  </w:style>
  <w:style w:type="paragraph" w:styleId="2130">
    <w:name w:val="Heading 3"/>
    <w:basedOn w:val="2304"/>
    <w:next w:val="2304"/>
    <w:link w:val="21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2131">
    <w:name w:val="Heading 3 Char"/>
    <w:link w:val="2130"/>
    <w:uiPriority w:val="9"/>
    <w:rPr>
      <w:rFonts w:ascii="Arial" w:hAnsi="Arial" w:eastAsia="Arial" w:cs="Arial"/>
      <w:sz w:val="30"/>
      <w:szCs w:val="30"/>
    </w:rPr>
  </w:style>
  <w:style w:type="paragraph" w:styleId="2132">
    <w:name w:val="Heading 4"/>
    <w:basedOn w:val="2304"/>
    <w:next w:val="2304"/>
    <w:link w:val="21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133">
    <w:name w:val="Heading 4 Char"/>
    <w:link w:val="2132"/>
    <w:uiPriority w:val="9"/>
    <w:rPr>
      <w:rFonts w:ascii="Arial" w:hAnsi="Arial" w:eastAsia="Arial" w:cs="Arial"/>
      <w:b/>
      <w:bCs/>
      <w:sz w:val="26"/>
      <w:szCs w:val="26"/>
    </w:rPr>
  </w:style>
  <w:style w:type="paragraph" w:styleId="2134">
    <w:name w:val="Heading 5"/>
    <w:basedOn w:val="2304"/>
    <w:next w:val="2304"/>
    <w:link w:val="21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35">
    <w:name w:val="Heading 5 Char"/>
    <w:link w:val="2134"/>
    <w:uiPriority w:val="9"/>
    <w:rPr>
      <w:rFonts w:ascii="Arial" w:hAnsi="Arial" w:eastAsia="Arial" w:cs="Arial"/>
      <w:b/>
      <w:bCs/>
      <w:sz w:val="24"/>
      <w:szCs w:val="24"/>
    </w:rPr>
  </w:style>
  <w:style w:type="paragraph" w:styleId="2136">
    <w:name w:val="Heading 6"/>
    <w:basedOn w:val="2304"/>
    <w:next w:val="2304"/>
    <w:link w:val="21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137">
    <w:name w:val="Heading 6 Char"/>
    <w:link w:val="2136"/>
    <w:uiPriority w:val="9"/>
    <w:rPr>
      <w:rFonts w:ascii="Arial" w:hAnsi="Arial" w:eastAsia="Arial" w:cs="Arial"/>
      <w:b/>
      <w:bCs/>
      <w:sz w:val="22"/>
      <w:szCs w:val="22"/>
    </w:rPr>
  </w:style>
  <w:style w:type="paragraph" w:styleId="2138">
    <w:name w:val="Heading 7"/>
    <w:basedOn w:val="2304"/>
    <w:next w:val="2304"/>
    <w:link w:val="21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139">
    <w:name w:val="Heading 7 Char"/>
    <w:link w:val="21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140">
    <w:name w:val="Heading 8"/>
    <w:basedOn w:val="2304"/>
    <w:next w:val="2304"/>
    <w:link w:val="21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141">
    <w:name w:val="Heading 8 Char"/>
    <w:link w:val="2140"/>
    <w:uiPriority w:val="9"/>
    <w:rPr>
      <w:rFonts w:ascii="Arial" w:hAnsi="Arial" w:eastAsia="Arial" w:cs="Arial"/>
      <w:i/>
      <w:iCs/>
      <w:sz w:val="22"/>
      <w:szCs w:val="22"/>
    </w:rPr>
  </w:style>
  <w:style w:type="paragraph" w:styleId="2142">
    <w:name w:val="Heading 9"/>
    <w:basedOn w:val="2304"/>
    <w:next w:val="2304"/>
    <w:link w:val="21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143">
    <w:name w:val="Heading 9 Char"/>
    <w:link w:val="2142"/>
    <w:uiPriority w:val="9"/>
    <w:rPr>
      <w:rFonts w:ascii="Arial" w:hAnsi="Arial" w:eastAsia="Arial" w:cs="Arial"/>
      <w:i/>
      <w:iCs/>
      <w:sz w:val="21"/>
      <w:szCs w:val="21"/>
    </w:rPr>
  </w:style>
  <w:style w:type="paragraph" w:styleId="2144">
    <w:name w:val="List Paragraph"/>
    <w:basedOn w:val="2304"/>
    <w:uiPriority w:val="34"/>
    <w:qFormat/>
    <w:pPr>
      <w:contextualSpacing/>
      <w:ind w:left="720"/>
    </w:pPr>
  </w:style>
  <w:style w:type="paragraph" w:styleId="2145">
    <w:name w:val="No Spacing"/>
    <w:uiPriority w:val="1"/>
    <w:qFormat/>
    <w:pPr>
      <w:spacing w:before="0" w:after="0" w:line="240" w:lineRule="auto"/>
    </w:pPr>
  </w:style>
  <w:style w:type="paragraph" w:styleId="2146">
    <w:name w:val="Title"/>
    <w:basedOn w:val="2304"/>
    <w:next w:val="2304"/>
    <w:link w:val="214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2147">
    <w:name w:val="Title Char"/>
    <w:link w:val="2146"/>
    <w:uiPriority w:val="10"/>
    <w:rPr>
      <w:sz w:val="48"/>
      <w:szCs w:val="48"/>
    </w:rPr>
  </w:style>
  <w:style w:type="paragraph" w:styleId="2148">
    <w:name w:val="Subtitle"/>
    <w:basedOn w:val="2304"/>
    <w:next w:val="2304"/>
    <w:link w:val="2149"/>
    <w:uiPriority w:val="11"/>
    <w:qFormat/>
    <w:pPr>
      <w:spacing w:before="200" w:after="200"/>
    </w:pPr>
    <w:rPr>
      <w:sz w:val="24"/>
      <w:szCs w:val="24"/>
    </w:rPr>
  </w:style>
  <w:style w:type="character" w:styleId="2149">
    <w:name w:val="Subtitle Char"/>
    <w:link w:val="2148"/>
    <w:uiPriority w:val="11"/>
    <w:rPr>
      <w:sz w:val="24"/>
      <w:szCs w:val="24"/>
    </w:rPr>
  </w:style>
  <w:style w:type="paragraph" w:styleId="2150">
    <w:name w:val="Quote"/>
    <w:basedOn w:val="2304"/>
    <w:next w:val="2304"/>
    <w:link w:val="2151"/>
    <w:uiPriority w:val="29"/>
    <w:qFormat/>
    <w:pPr>
      <w:ind w:left="720" w:right="720"/>
    </w:pPr>
    <w:rPr>
      <w:i/>
    </w:rPr>
  </w:style>
  <w:style w:type="character" w:styleId="2151">
    <w:name w:val="Quote Char"/>
    <w:link w:val="2150"/>
    <w:uiPriority w:val="29"/>
    <w:rPr>
      <w:i/>
    </w:rPr>
  </w:style>
  <w:style w:type="paragraph" w:styleId="2152">
    <w:name w:val="Intense Quote"/>
    <w:basedOn w:val="2304"/>
    <w:next w:val="2304"/>
    <w:link w:val="21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153">
    <w:name w:val="Intense Quote Char"/>
    <w:link w:val="2152"/>
    <w:uiPriority w:val="30"/>
    <w:rPr>
      <w:i/>
    </w:rPr>
  </w:style>
  <w:style w:type="paragraph" w:styleId="2154">
    <w:name w:val="Header"/>
    <w:basedOn w:val="2304"/>
    <w:link w:val="215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155">
    <w:name w:val="Header Char"/>
    <w:link w:val="2154"/>
    <w:uiPriority w:val="99"/>
  </w:style>
  <w:style w:type="paragraph" w:styleId="2156">
    <w:name w:val="Footer"/>
    <w:basedOn w:val="2304"/>
    <w:link w:val="215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157">
    <w:name w:val="Footer Char"/>
    <w:link w:val="2156"/>
    <w:uiPriority w:val="99"/>
  </w:style>
  <w:style w:type="paragraph" w:styleId="2158">
    <w:name w:val="Caption"/>
    <w:basedOn w:val="2304"/>
    <w:next w:val="2304"/>
    <w:link w:val="21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2159">
    <w:name w:val="Caption Char"/>
    <w:link w:val="2158"/>
    <w:uiPriority w:val="35"/>
    <w:rPr>
      <w:b/>
      <w:bCs/>
      <w:color w:val="4f81bd" w:themeColor="accent1"/>
      <w:sz w:val="18"/>
      <w:szCs w:val="18"/>
    </w:rPr>
  </w:style>
  <w:style w:type="table" w:styleId="216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6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6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16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16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16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16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218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219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219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219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219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219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219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219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219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219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219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220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220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220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220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220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220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220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220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220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220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222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222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222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222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222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222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223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5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5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225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225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225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225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225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225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225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225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226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226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226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226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226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226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26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26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26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26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27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27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27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27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27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27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27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27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27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27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228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228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228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228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228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228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2286">
    <w:name w:val="Hyperlink"/>
    <w:uiPriority w:val="99"/>
    <w:unhideWhenUsed/>
    <w:rPr>
      <w:color w:val="0000ff" w:themeColor="hyperlink"/>
      <w:u w:val="single"/>
    </w:rPr>
  </w:style>
  <w:style w:type="paragraph" w:styleId="2287">
    <w:name w:val="footnote text"/>
    <w:basedOn w:val="2304"/>
    <w:link w:val="2288"/>
    <w:uiPriority w:val="99"/>
    <w:semiHidden/>
    <w:unhideWhenUsed/>
    <w:pPr>
      <w:spacing w:after="40" w:line="240" w:lineRule="auto"/>
    </w:pPr>
    <w:rPr>
      <w:sz w:val="18"/>
    </w:rPr>
  </w:style>
  <w:style w:type="character" w:styleId="2288">
    <w:name w:val="Footnote Text Char"/>
    <w:link w:val="2287"/>
    <w:uiPriority w:val="99"/>
    <w:rPr>
      <w:sz w:val="18"/>
    </w:rPr>
  </w:style>
  <w:style w:type="character" w:styleId="2289">
    <w:name w:val="footnote reference"/>
    <w:uiPriority w:val="99"/>
    <w:unhideWhenUsed/>
    <w:rPr>
      <w:vertAlign w:val="superscript"/>
    </w:rPr>
  </w:style>
  <w:style w:type="paragraph" w:styleId="2290">
    <w:name w:val="endnote text"/>
    <w:basedOn w:val="2304"/>
    <w:link w:val="2291"/>
    <w:uiPriority w:val="99"/>
    <w:semiHidden/>
    <w:unhideWhenUsed/>
    <w:pPr>
      <w:spacing w:after="0" w:line="240" w:lineRule="auto"/>
    </w:pPr>
    <w:rPr>
      <w:sz w:val="20"/>
    </w:rPr>
  </w:style>
  <w:style w:type="character" w:styleId="2291">
    <w:name w:val="Endnote Text Char"/>
    <w:link w:val="2290"/>
    <w:uiPriority w:val="99"/>
    <w:rPr>
      <w:sz w:val="20"/>
    </w:rPr>
  </w:style>
  <w:style w:type="character" w:styleId="2292">
    <w:name w:val="endnote reference"/>
    <w:uiPriority w:val="99"/>
    <w:semiHidden/>
    <w:unhideWhenUsed/>
    <w:rPr>
      <w:vertAlign w:val="superscript"/>
    </w:rPr>
  </w:style>
  <w:style w:type="paragraph" w:styleId="2293">
    <w:name w:val="toc 1"/>
    <w:basedOn w:val="2304"/>
    <w:next w:val="2304"/>
    <w:uiPriority w:val="39"/>
    <w:unhideWhenUsed/>
    <w:pPr>
      <w:ind w:left="0" w:right="0" w:firstLine="0"/>
      <w:spacing w:after="57"/>
    </w:pPr>
  </w:style>
  <w:style w:type="paragraph" w:styleId="2294">
    <w:name w:val="toc 2"/>
    <w:basedOn w:val="2304"/>
    <w:next w:val="2304"/>
    <w:uiPriority w:val="39"/>
    <w:unhideWhenUsed/>
    <w:pPr>
      <w:ind w:left="283" w:right="0" w:firstLine="0"/>
      <w:spacing w:after="57"/>
    </w:pPr>
  </w:style>
  <w:style w:type="paragraph" w:styleId="2295">
    <w:name w:val="toc 3"/>
    <w:basedOn w:val="2304"/>
    <w:next w:val="2304"/>
    <w:uiPriority w:val="39"/>
    <w:unhideWhenUsed/>
    <w:pPr>
      <w:ind w:left="567" w:right="0" w:firstLine="0"/>
      <w:spacing w:after="57"/>
    </w:pPr>
  </w:style>
  <w:style w:type="paragraph" w:styleId="2296">
    <w:name w:val="toc 4"/>
    <w:basedOn w:val="2304"/>
    <w:next w:val="2304"/>
    <w:uiPriority w:val="39"/>
    <w:unhideWhenUsed/>
    <w:pPr>
      <w:ind w:left="850" w:right="0" w:firstLine="0"/>
      <w:spacing w:after="57"/>
    </w:pPr>
  </w:style>
  <w:style w:type="paragraph" w:styleId="2297">
    <w:name w:val="toc 5"/>
    <w:basedOn w:val="2304"/>
    <w:next w:val="2304"/>
    <w:uiPriority w:val="39"/>
    <w:unhideWhenUsed/>
    <w:pPr>
      <w:ind w:left="1134" w:right="0" w:firstLine="0"/>
      <w:spacing w:after="57"/>
    </w:pPr>
  </w:style>
  <w:style w:type="paragraph" w:styleId="2298">
    <w:name w:val="toc 6"/>
    <w:basedOn w:val="2304"/>
    <w:next w:val="2304"/>
    <w:uiPriority w:val="39"/>
    <w:unhideWhenUsed/>
    <w:pPr>
      <w:ind w:left="1417" w:right="0" w:firstLine="0"/>
      <w:spacing w:after="57"/>
    </w:pPr>
  </w:style>
  <w:style w:type="paragraph" w:styleId="2299">
    <w:name w:val="toc 7"/>
    <w:basedOn w:val="2304"/>
    <w:next w:val="2304"/>
    <w:uiPriority w:val="39"/>
    <w:unhideWhenUsed/>
    <w:pPr>
      <w:ind w:left="1701" w:right="0" w:firstLine="0"/>
      <w:spacing w:after="57"/>
    </w:pPr>
  </w:style>
  <w:style w:type="paragraph" w:styleId="2300">
    <w:name w:val="toc 8"/>
    <w:basedOn w:val="2304"/>
    <w:next w:val="2304"/>
    <w:uiPriority w:val="39"/>
    <w:unhideWhenUsed/>
    <w:pPr>
      <w:ind w:left="1984" w:right="0" w:firstLine="0"/>
      <w:spacing w:after="57"/>
    </w:pPr>
  </w:style>
  <w:style w:type="paragraph" w:styleId="2301">
    <w:name w:val="toc 9"/>
    <w:basedOn w:val="2304"/>
    <w:next w:val="2304"/>
    <w:uiPriority w:val="39"/>
    <w:unhideWhenUsed/>
    <w:pPr>
      <w:ind w:left="2268" w:right="0" w:firstLine="0"/>
      <w:spacing w:after="57"/>
    </w:pPr>
  </w:style>
  <w:style w:type="paragraph" w:styleId="2302">
    <w:name w:val="TOC Heading"/>
    <w:uiPriority w:val="39"/>
    <w:unhideWhenUsed/>
  </w:style>
  <w:style w:type="paragraph" w:styleId="2303">
    <w:name w:val="table of figures"/>
    <w:basedOn w:val="2304"/>
    <w:next w:val="2304"/>
    <w:uiPriority w:val="99"/>
    <w:unhideWhenUsed/>
    <w:pPr>
      <w:spacing w:after="0" w:afterAutospacing="0"/>
    </w:pPr>
  </w:style>
  <w:style w:type="paragraph" w:styleId="2304" w:default="1">
    <w:name w:val="Normal"/>
    <w:next w:val="2304"/>
    <w:link w:val="2304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305">
    <w:name w:val="Заголовок 1"/>
    <w:basedOn w:val="2304"/>
    <w:next w:val="2304"/>
    <w:link w:val="2311"/>
    <w:qFormat/>
    <w:pPr>
      <w:keepNext/>
      <w:widowControl/>
      <w:outlineLvl w:val="0"/>
    </w:pPr>
    <w:rPr>
      <w:sz w:val="28"/>
      <w:szCs w:val="24"/>
    </w:rPr>
  </w:style>
  <w:style w:type="paragraph" w:styleId="2306">
    <w:name w:val="Заголовок 2"/>
    <w:basedOn w:val="2304"/>
    <w:next w:val="2304"/>
    <w:link w:val="2312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2307">
    <w:name w:val="Заголовок 3"/>
    <w:basedOn w:val="2304"/>
    <w:next w:val="2304"/>
    <w:link w:val="2313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2308">
    <w:name w:val="Основной шрифт абзаца"/>
    <w:next w:val="2308"/>
    <w:link w:val="2304"/>
    <w:uiPriority w:val="1"/>
    <w:semiHidden/>
    <w:unhideWhenUsed/>
  </w:style>
  <w:style w:type="table" w:styleId="2309">
    <w:name w:val="Обычная таблица"/>
    <w:next w:val="2309"/>
    <w:link w:val="2304"/>
    <w:uiPriority w:val="99"/>
    <w:semiHidden/>
    <w:unhideWhenUsed/>
    <w:tblPr/>
  </w:style>
  <w:style w:type="numbering" w:styleId="2310">
    <w:name w:val="Нет списка"/>
    <w:next w:val="2310"/>
    <w:link w:val="2304"/>
    <w:uiPriority w:val="99"/>
    <w:semiHidden/>
    <w:unhideWhenUsed/>
  </w:style>
  <w:style w:type="character" w:styleId="2311">
    <w:name w:val="Заголовок 1 Знак"/>
    <w:next w:val="2311"/>
    <w:link w:val="230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312">
    <w:name w:val="Заголовок 2 Знак"/>
    <w:next w:val="2312"/>
    <w:link w:val="2306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2313">
    <w:name w:val="Заголовок 3 Знак"/>
    <w:next w:val="2313"/>
    <w:link w:val="2307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2314">
    <w:name w:val="Нет списка1"/>
    <w:next w:val="2310"/>
    <w:link w:val="2304"/>
    <w:uiPriority w:val="99"/>
    <w:semiHidden/>
    <w:unhideWhenUsed/>
  </w:style>
  <w:style w:type="paragraph" w:styleId="2315">
    <w:name w:val="Основной текст 2"/>
    <w:basedOn w:val="2304"/>
    <w:next w:val="2315"/>
    <w:link w:val="2316"/>
    <w:uiPriority w:val="99"/>
    <w:pPr>
      <w:jc w:val="both"/>
      <w:widowControl/>
    </w:pPr>
    <w:rPr>
      <w:b/>
      <w:sz w:val="24"/>
      <w:szCs w:val="24"/>
    </w:rPr>
  </w:style>
  <w:style w:type="character" w:styleId="2316">
    <w:name w:val="Основной текст 2 Знак"/>
    <w:next w:val="2316"/>
    <w:link w:val="2315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2317">
    <w:name w:val="ConsPlusNormal"/>
    <w:next w:val="2317"/>
    <w:link w:val="2304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2318">
    <w:name w:val="Основной текст,Основной текст таблиц,в таблице,таблицы,в таблицах,Письмо в Интернет"/>
    <w:basedOn w:val="2304"/>
    <w:next w:val="2318"/>
    <w:link w:val="2319"/>
    <w:pPr>
      <w:spacing w:after="120"/>
    </w:pPr>
  </w:style>
  <w:style w:type="character" w:styleId="2319">
    <w:name w:val="Основной текст Знак,Основной текст таблиц Знак,в таблице Знак,таблицы Знак,в таблицах Знак,Письмо в Интернет Знак"/>
    <w:next w:val="2319"/>
    <w:link w:val="231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0">
    <w:name w:val="Основной текст с отступом 2"/>
    <w:basedOn w:val="2304"/>
    <w:next w:val="2320"/>
    <w:link w:val="2321"/>
    <w:pPr>
      <w:ind w:left="283"/>
      <w:spacing w:after="120" w:line="480" w:lineRule="auto"/>
    </w:pPr>
  </w:style>
  <w:style w:type="character" w:styleId="2321">
    <w:name w:val="Основной текст с отступом 2 Знак"/>
    <w:next w:val="2321"/>
    <w:link w:val="232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2">
    <w:name w:val="Основной текст 3"/>
    <w:basedOn w:val="2304"/>
    <w:next w:val="2322"/>
    <w:link w:val="2323"/>
    <w:pPr>
      <w:spacing w:after="120"/>
    </w:pPr>
    <w:rPr>
      <w:sz w:val="16"/>
      <w:szCs w:val="16"/>
    </w:rPr>
  </w:style>
  <w:style w:type="character" w:styleId="2323">
    <w:name w:val="Основной текст 3 Знак"/>
    <w:next w:val="2323"/>
    <w:link w:val="232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2324">
    <w:name w:val="Верхний колонтитул,Знак23"/>
    <w:basedOn w:val="2304"/>
    <w:next w:val="2324"/>
    <w:link w:val="2325"/>
    <w:uiPriority w:val="99"/>
    <w:pPr>
      <w:tabs>
        <w:tab w:val="center" w:pos="4677" w:leader="none"/>
        <w:tab w:val="right" w:pos="9355" w:leader="none"/>
      </w:tabs>
    </w:pPr>
  </w:style>
  <w:style w:type="character" w:styleId="2325">
    <w:name w:val="Верхний колонтитул Знак,Знак23 Знак"/>
    <w:next w:val="2325"/>
    <w:link w:val="232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6">
    <w:name w:val="Нижний колонтитул"/>
    <w:basedOn w:val="2304"/>
    <w:next w:val="2326"/>
    <w:link w:val="2327"/>
    <w:pPr>
      <w:tabs>
        <w:tab w:val="center" w:pos="4677" w:leader="none"/>
        <w:tab w:val="right" w:pos="9355" w:leader="none"/>
      </w:tabs>
    </w:pPr>
  </w:style>
  <w:style w:type="character" w:styleId="2327">
    <w:name w:val="Нижний колонтитул Знак"/>
    <w:next w:val="2327"/>
    <w:link w:val="232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8">
    <w:name w:val="Текст выноски"/>
    <w:basedOn w:val="2304"/>
    <w:next w:val="2328"/>
    <w:link w:val="2329"/>
    <w:rPr>
      <w:rFonts w:ascii="Tahoma" w:hAnsi="Tahoma" w:cs="Tahoma"/>
      <w:sz w:val="16"/>
      <w:szCs w:val="16"/>
    </w:rPr>
  </w:style>
  <w:style w:type="character" w:styleId="2329">
    <w:name w:val="Текст выноски Знак"/>
    <w:next w:val="2329"/>
    <w:link w:val="2328"/>
    <w:rPr>
      <w:rFonts w:ascii="Tahoma" w:hAnsi="Tahoma" w:eastAsia="Times New Roman" w:cs="Tahoma"/>
      <w:sz w:val="16"/>
      <w:szCs w:val="16"/>
      <w:lang w:eastAsia="ru-RU"/>
    </w:rPr>
  </w:style>
  <w:style w:type="paragraph" w:styleId="2330">
    <w:name w:val="Рецензия"/>
    <w:next w:val="2330"/>
    <w:link w:val="2304"/>
    <w:hidden/>
    <w:uiPriority w:val="99"/>
    <w:semiHidden/>
    <w:rPr>
      <w:rFonts w:ascii="Times New Roman" w:hAnsi="Times New Roman" w:eastAsia="Times New Roman"/>
      <w:lang w:val="ru-RU" w:eastAsia="ru-RU" w:bidi="ar-SA"/>
    </w:rPr>
  </w:style>
  <w:style w:type="character" w:styleId="2331">
    <w:name w:val="webofficeattributevalue"/>
    <w:next w:val="2331"/>
    <w:link w:val="2304"/>
  </w:style>
  <w:style w:type="character" w:styleId="2332">
    <w:name w:val="Номер строки"/>
    <w:basedOn w:val="2308"/>
    <w:next w:val="2332"/>
    <w:link w:val="2304"/>
  </w:style>
  <w:style w:type="numbering" w:styleId="2333">
    <w:name w:val="Нет списка11"/>
    <w:next w:val="2310"/>
    <w:link w:val="2304"/>
    <w:uiPriority w:val="99"/>
    <w:semiHidden/>
    <w:unhideWhenUsed/>
  </w:style>
  <w:style w:type="paragraph" w:styleId="2334">
    <w:name w:val="2"/>
    <w:basedOn w:val="2304"/>
    <w:next w:val="2386"/>
    <w:link w:val="2335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2335">
    <w:name w:val="Название Знак"/>
    <w:next w:val="2335"/>
    <w:link w:val="2334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2336">
    <w:name w:val="a5"/>
    <w:basedOn w:val="2304"/>
    <w:next w:val="2336"/>
    <w:link w:val="2304"/>
    <w:uiPriority w:val="99"/>
    <w:pPr>
      <w:widowControl/>
    </w:pPr>
  </w:style>
  <w:style w:type="paragraph" w:styleId="2337">
    <w:name w:val="Таблица шапка"/>
    <w:basedOn w:val="2304"/>
    <w:next w:val="2337"/>
    <w:link w:val="2304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2338">
    <w:name w:val="Номер страницы"/>
    <w:next w:val="2338"/>
    <w:link w:val="2304"/>
    <w:uiPriority w:val="99"/>
    <w:rPr>
      <w:rFonts w:cs="Times New Roman"/>
    </w:rPr>
  </w:style>
  <w:style w:type="paragraph" w:styleId="2339">
    <w:name w:val="Основной текст с отступом"/>
    <w:basedOn w:val="2304"/>
    <w:next w:val="2339"/>
    <w:link w:val="2340"/>
    <w:pPr>
      <w:ind w:left="283"/>
      <w:spacing w:after="120"/>
    </w:pPr>
    <w:rPr>
      <w:rFonts w:ascii="Arial" w:hAnsi="Arial"/>
    </w:rPr>
  </w:style>
  <w:style w:type="character" w:styleId="2340">
    <w:name w:val="Основной текст с отступом Знак"/>
    <w:next w:val="2340"/>
    <w:link w:val="2339"/>
    <w:rPr>
      <w:rFonts w:ascii="Arial" w:hAnsi="Arial" w:eastAsia="Times New Roman" w:cs="Times New Roman"/>
      <w:sz w:val="20"/>
      <w:szCs w:val="20"/>
      <w:lang w:eastAsia="ru-RU"/>
    </w:rPr>
  </w:style>
  <w:style w:type="paragraph" w:styleId="2341">
    <w:name w:val="ConsNormal"/>
    <w:next w:val="2341"/>
    <w:link w:val="2304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2342">
    <w:name w:val="Цитата"/>
    <w:basedOn w:val="2304"/>
    <w:next w:val="2342"/>
    <w:link w:val="2304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2343">
    <w:name w:val="Подзаголовок"/>
    <w:basedOn w:val="2304"/>
    <w:next w:val="2343"/>
    <w:link w:val="2344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2344">
    <w:name w:val="Подзаголовок Знак"/>
    <w:next w:val="2344"/>
    <w:link w:val="234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2345">
    <w:name w:val="_Маркер (номер) - с заголовком"/>
    <w:basedOn w:val="2304"/>
    <w:next w:val="2345"/>
    <w:link w:val="2304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2346">
    <w:name w:val="Основной текст с отступом 3"/>
    <w:basedOn w:val="2304"/>
    <w:next w:val="2346"/>
    <w:link w:val="2347"/>
    <w:pPr>
      <w:ind w:left="283"/>
      <w:spacing w:after="120"/>
    </w:pPr>
    <w:rPr>
      <w:rFonts w:ascii="Arial" w:hAnsi="Arial"/>
      <w:sz w:val="16"/>
      <w:szCs w:val="16"/>
    </w:rPr>
  </w:style>
  <w:style w:type="character" w:styleId="2347">
    <w:name w:val="Основной текст с отступом 3 Знак"/>
    <w:next w:val="2347"/>
    <w:link w:val="2346"/>
    <w:rPr>
      <w:rFonts w:ascii="Arial" w:hAnsi="Arial" w:eastAsia="Times New Roman" w:cs="Times New Roman"/>
      <w:sz w:val="16"/>
      <w:szCs w:val="16"/>
      <w:lang w:eastAsia="ru-RU"/>
    </w:rPr>
  </w:style>
  <w:style w:type="paragraph" w:styleId="2348">
    <w:name w:val="Noeeu14"/>
    <w:basedOn w:val="2304"/>
    <w:next w:val="2348"/>
    <w:link w:val="2304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2349">
    <w:name w:val="Revision1"/>
    <w:next w:val="2349"/>
    <w:link w:val="2304"/>
    <w:hidden/>
    <w:uiPriority w:val="99"/>
    <w:semiHidden/>
    <w:rPr>
      <w:rFonts w:ascii="Arial" w:hAnsi="Arial" w:eastAsia="Times New Roman" w:cs="Arial"/>
      <w:lang w:val="ru-RU" w:eastAsia="ru-RU" w:bidi="ar-SA"/>
    </w:rPr>
  </w:style>
  <w:style w:type="character" w:styleId="2350">
    <w:name w:val="webofficeattributevalue1"/>
    <w:next w:val="2350"/>
    <w:link w:val="2304"/>
    <w:rPr>
      <w:rFonts w:ascii="Verdana" w:hAnsi="Verdana"/>
      <w:color w:val="000000"/>
      <w:sz w:val="18"/>
      <w:u w:val="none"/>
    </w:rPr>
  </w:style>
  <w:style w:type="paragraph" w:styleId="2351">
    <w:name w:val="Text"/>
    <w:basedOn w:val="2304"/>
    <w:next w:val="2351"/>
    <w:link w:val="2304"/>
    <w:uiPriority w:val="99"/>
    <w:pPr>
      <w:spacing w:after="240"/>
      <w:widowControl/>
    </w:pPr>
    <w:rPr>
      <w:sz w:val="24"/>
      <w:lang w:val="en-US" w:eastAsia="en-US"/>
    </w:rPr>
  </w:style>
  <w:style w:type="character" w:styleId="2352">
    <w:name w:val="Знак примечания"/>
    <w:next w:val="2352"/>
    <w:link w:val="2304"/>
    <w:rPr>
      <w:rFonts w:cs="Times New Roman"/>
      <w:sz w:val="16"/>
      <w:szCs w:val="16"/>
    </w:rPr>
  </w:style>
  <w:style w:type="paragraph" w:styleId="2353">
    <w:name w:val="Текст примечания"/>
    <w:basedOn w:val="2304"/>
    <w:next w:val="2353"/>
    <w:link w:val="2354"/>
    <w:rPr>
      <w:rFonts w:ascii="Arial" w:hAnsi="Arial" w:cs="Arial"/>
    </w:rPr>
  </w:style>
  <w:style w:type="character" w:styleId="2354">
    <w:name w:val="Текст примечания Знак"/>
    <w:next w:val="2354"/>
    <w:link w:val="2353"/>
    <w:rPr>
      <w:rFonts w:ascii="Arial" w:hAnsi="Arial" w:eastAsia="Times New Roman" w:cs="Arial"/>
      <w:sz w:val="20"/>
      <w:szCs w:val="20"/>
      <w:lang w:eastAsia="ru-RU"/>
    </w:rPr>
  </w:style>
  <w:style w:type="paragraph" w:styleId="2355">
    <w:name w:val="Тема примечания"/>
    <w:basedOn w:val="2353"/>
    <w:next w:val="2353"/>
    <w:link w:val="2356"/>
    <w:rPr>
      <w:b/>
      <w:bCs/>
    </w:rPr>
  </w:style>
  <w:style w:type="character" w:styleId="2356">
    <w:name w:val="Тема примечания Знак"/>
    <w:next w:val="2356"/>
    <w:link w:val="2355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2357">
    <w:name w:val="Без интервала"/>
    <w:next w:val="2357"/>
    <w:link w:val="2304"/>
    <w:uiPriority w:val="1"/>
    <w:qFormat/>
    <w:pPr>
      <w:ind w:firstLine="567"/>
      <w:jc w:val="both"/>
    </w:pPr>
    <w:rPr>
      <w:rFonts w:eastAsia="Times New Roman"/>
      <w:sz w:val="28"/>
      <w:szCs w:val="28"/>
      <w:lang w:val="ru-RU" w:eastAsia="ru-RU" w:bidi="ar-SA"/>
    </w:rPr>
  </w:style>
  <w:style w:type="character" w:styleId="2358">
    <w:name w:val="Знак Знак2"/>
    <w:next w:val="2358"/>
    <w:link w:val="2304"/>
    <w:uiPriority w:val="99"/>
    <w:rPr>
      <w:b/>
      <w:sz w:val="28"/>
      <w:u w:val="single"/>
      <w:lang w:val="ru-RU" w:eastAsia="ru-RU"/>
    </w:rPr>
  </w:style>
  <w:style w:type="paragraph" w:styleId="2359">
    <w:name w:val="Обычный (веб)"/>
    <w:basedOn w:val="2304"/>
    <w:next w:val="2359"/>
    <w:link w:val="2304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2360">
    <w:name w:val="Нет списка111"/>
    <w:next w:val="2310"/>
    <w:link w:val="2304"/>
    <w:uiPriority w:val="99"/>
    <w:semiHidden/>
    <w:unhideWhenUsed/>
  </w:style>
  <w:style w:type="paragraph" w:styleId="2361">
    <w:name w:val="Обычный1"/>
    <w:next w:val="2361"/>
    <w:link w:val="2304"/>
    <w:pPr>
      <w:ind w:firstLine="560"/>
      <w:spacing w:line="300" w:lineRule="auto"/>
      <w:widowControl w:val="off"/>
    </w:pPr>
    <w:rPr>
      <w:rFonts w:ascii="Times New Roman" w:hAnsi="Times New Roman" w:eastAsia="Times New Roman"/>
      <w:sz w:val="22"/>
      <w:lang w:val="ru-RU" w:eastAsia="ru-RU" w:bidi="ar-SA"/>
    </w:rPr>
  </w:style>
  <w:style w:type="numbering" w:styleId="2362">
    <w:name w:val="Нет списка2"/>
    <w:next w:val="2310"/>
    <w:link w:val="2304"/>
    <w:uiPriority w:val="99"/>
    <w:semiHidden/>
    <w:unhideWhenUsed/>
  </w:style>
  <w:style w:type="paragraph" w:styleId="2363">
    <w:name w:val="Текст"/>
    <w:basedOn w:val="2304"/>
    <w:next w:val="2363"/>
    <w:link w:val="2364"/>
    <w:pPr>
      <w:widowControl/>
    </w:pPr>
    <w:rPr>
      <w:rFonts w:ascii="Courier New" w:hAnsi="Courier New" w:cs="Courier New"/>
    </w:rPr>
  </w:style>
  <w:style w:type="character" w:styleId="2364">
    <w:name w:val="Текст Знак"/>
    <w:next w:val="2364"/>
    <w:link w:val="2363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2365">
    <w:name w:val="No Spacing1"/>
    <w:next w:val="2365"/>
    <w:link w:val="2304"/>
    <w:rPr>
      <w:rFonts w:eastAsia="Times New Roman"/>
      <w:sz w:val="22"/>
      <w:szCs w:val="22"/>
      <w:lang w:val="ru-RU" w:eastAsia="en-US" w:bidi="ar-SA"/>
    </w:rPr>
  </w:style>
  <w:style w:type="paragraph" w:styleId="2366">
    <w:name w:val="ConsPlusNonformat"/>
    <w:next w:val="2366"/>
    <w:link w:val="2304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table" w:styleId="2367">
    <w:name w:val="Сетка таблицы"/>
    <w:basedOn w:val="2309"/>
    <w:next w:val="2367"/>
    <w:link w:val="230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2368">
    <w:name w:val="text"/>
    <w:basedOn w:val="2304"/>
    <w:next w:val="2368"/>
    <w:link w:val="2304"/>
    <w:uiPriority w:val="99"/>
    <w:pPr>
      <w:spacing w:after="240"/>
      <w:widowControl/>
    </w:pPr>
    <w:rPr>
      <w:sz w:val="24"/>
      <w:szCs w:val="24"/>
    </w:rPr>
  </w:style>
  <w:style w:type="paragraph" w:styleId="2369">
    <w:name w:val="Body Text Indent 21"/>
    <w:basedOn w:val="2304"/>
    <w:next w:val="2369"/>
    <w:link w:val="2304"/>
    <w:uiPriority w:val="99"/>
    <w:pPr>
      <w:ind w:firstLine="720"/>
      <w:widowControl/>
    </w:pPr>
    <w:rPr>
      <w:sz w:val="26"/>
      <w:szCs w:val="26"/>
    </w:rPr>
  </w:style>
  <w:style w:type="paragraph" w:styleId="2370">
    <w:name w:val="Основной текст1,Подпись1"/>
    <w:next w:val="2370"/>
    <w:link w:val="2304"/>
    <w:rPr>
      <w:rFonts w:ascii="Times New Roman" w:hAnsi="Times New Roman" w:eastAsia="ヒラギノ角ゴ Pro W3"/>
      <w:color w:val="000000"/>
      <w:sz w:val="24"/>
      <w:lang w:val="ru-RU" w:eastAsia="ru-RU" w:bidi="ar-SA"/>
    </w:rPr>
  </w:style>
  <w:style w:type="paragraph" w:styleId="2371">
    <w:name w:val="Абзац списка,Нумерованый список,List Paragraph1,Абзац маркированнный,ПАРАГРАФ,3_Абзац списка,RSHB_Table-Normal,Table-Normal,Абзац списка2"/>
    <w:basedOn w:val="2304"/>
    <w:next w:val="2371"/>
    <w:link w:val="2376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2372">
    <w:name w:val="Гиперссылка"/>
    <w:next w:val="2372"/>
    <w:link w:val="2304"/>
    <w:unhideWhenUsed/>
    <w:rPr>
      <w:color w:val="0000ff"/>
      <w:u w:val="single"/>
    </w:rPr>
  </w:style>
  <w:style w:type="paragraph" w:styleId="2373">
    <w:name w:val="Текст сноски"/>
    <w:basedOn w:val="2304"/>
    <w:next w:val="2373"/>
    <w:link w:val="2374"/>
    <w:unhideWhenUsed/>
    <w:pPr>
      <w:widowControl/>
    </w:pPr>
    <w:rPr>
      <w:rFonts w:ascii="Calibri" w:hAnsi="Calibri" w:eastAsia="Calibri"/>
      <w:lang w:eastAsia="en-US"/>
    </w:rPr>
  </w:style>
  <w:style w:type="character" w:styleId="2374">
    <w:name w:val="Текст сноски Знак"/>
    <w:next w:val="2374"/>
    <w:link w:val="2373"/>
    <w:rPr>
      <w:rFonts w:ascii="Calibri" w:hAnsi="Calibri" w:eastAsia="Calibri" w:cs="Times New Roman"/>
      <w:sz w:val="20"/>
      <w:szCs w:val="20"/>
    </w:rPr>
  </w:style>
  <w:style w:type="character" w:styleId="2375">
    <w:name w:val="Знак сноски"/>
    <w:next w:val="2375"/>
    <w:link w:val="2304"/>
    <w:unhideWhenUsed/>
    <w:rPr>
      <w:vertAlign w:val="superscript"/>
    </w:rPr>
  </w:style>
  <w:style w:type="character" w:styleId="2376">
    <w:name w:val="Абзац списка Знак,Нумерованый список Знак,List Paragraph1 Знак,Абзац маркированнный Знак,ПАРАГРАФ Знак,3_Абзац списка Знак,RSHB_Table-Normal Знак,Table-Normal Знак,Абзац списка2 Знак"/>
    <w:next w:val="2376"/>
    <w:link w:val="2371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2377">
    <w:name w:val="П.1 Char"/>
    <w:next w:val="2377"/>
    <w:link w:val="2378"/>
    <w:rPr>
      <w:bCs/>
      <w:sz w:val="24"/>
      <w:szCs w:val="24"/>
      <w:lang w:val="en-US" w:eastAsia="en-US"/>
    </w:rPr>
  </w:style>
  <w:style w:type="paragraph" w:styleId="2378">
    <w:name w:val="П.1"/>
    <w:basedOn w:val="2371"/>
    <w:next w:val="2378"/>
    <w:link w:val="2377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="Calibri" w:hAnsi="Calibri" w:eastAsia="Calibri" w:cs="Times New Roman"/>
      <w:bCs/>
      <w:color w:val="000000"/>
      <w:sz w:val="24"/>
      <w:lang w:val="en-US" w:eastAsia="en-US"/>
    </w:rPr>
  </w:style>
  <w:style w:type="character" w:styleId="2379">
    <w:name w:val="П.1.1 Char"/>
    <w:next w:val="2379"/>
    <w:link w:val="2380"/>
    <w:rPr>
      <w:bCs/>
      <w:sz w:val="24"/>
      <w:szCs w:val="24"/>
      <w:lang w:val="en-US" w:eastAsia="en-US"/>
    </w:rPr>
  </w:style>
  <w:style w:type="paragraph" w:styleId="2380">
    <w:name w:val="П.1.1"/>
    <w:basedOn w:val="2378"/>
    <w:next w:val="2380"/>
    <w:link w:val="2379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2381">
    <w:name w:val="П.1.1.1"/>
    <w:basedOn w:val="2378"/>
    <w:next w:val="2381"/>
    <w:link w:val="2304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2382">
    <w:name w:val="П.1.1.1.1"/>
    <w:basedOn w:val="2378"/>
    <w:next w:val="2304"/>
    <w:link w:val="2304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2383">
    <w:name w:val="П.1.1.1.1.1"/>
    <w:basedOn w:val="2378"/>
    <w:next w:val="2382"/>
    <w:link w:val="2304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2384">
    <w:name w:val="П.глава"/>
    <w:basedOn w:val="2371"/>
    <w:next w:val="2378"/>
    <w:link w:val="2304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000000"/>
      <w:sz w:val="24"/>
      <w:lang w:val="en-US" w:eastAsia="en-US"/>
    </w:rPr>
  </w:style>
  <w:style w:type="table" w:styleId="2385">
    <w:name w:val="Сетка таблицы1"/>
    <w:basedOn w:val="2309"/>
    <w:next w:val="2367"/>
    <w:link w:val="2304"/>
    <w:uiPriority w:val="39"/>
    <w:pPr>
      <w:spacing w:after="0" w:line="240" w:lineRule="auto"/>
    </w:pPr>
    <w:rPr>
      <w:rFonts w:ascii="Calibri" w:hAnsi="Calibri" w:eastAsia="Calibri" w:cs="Times New Roman"/>
    </w:rPr>
    <w:tblPr/>
  </w:style>
  <w:style w:type="paragraph" w:styleId="2386">
    <w:name w:val="Название"/>
    <w:basedOn w:val="2304"/>
    <w:next w:val="2304"/>
    <w:link w:val="2387"/>
    <w:uiPriority w:val="10"/>
    <w:qFormat/>
    <w:pPr>
      <w:contextualSpacing/>
    </w:pPr>
    <w:rPr>
      <w:rFonts w:ascii="Cambria" w:hAnsi="Cambria" w:eastAsia="Times New Roman" w:cs="Times New Roman"/>
      <w:spacing w:val="-10"/>
      <w:sz w:val="56"/>
      <w:szCs w:val="56"/>
    </w:rPr>
  </w:style>
  <w:style w:type="character" w:styleId="2387">
    <w:name w:val="Название Знак1"/>
    <w:next w:val="2387"/>
    <w:link w:val="2386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2388">
    <w:name w:val="Нет списка3"/>
    <w:next w:val="2310"/>
    <w:link w:val="2304"/>
    <w:semiHidden/>
    <w:unhideWhenUsed/>
  </w:style>
  <w:style w:type="table" w:styleId="2389">
    <w:name w:val="Сетка таблицы2"/>
    <w:basedOn w:val="2309"/>
    <w:next w:val="2367"/>
    <w:link w:val="230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2390">
    <w:name w:val="1"/>
    <w:basedOn w:val="2304"/>
    <w:next w:val="2386"/>
    <w:link w:val="2304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391">
    <w:name w:val="Средняя сетка 21"/>
    <w:next w:val="2391"/>
    <w:link w:val="2304"/>
    <w:uiPriority w:val="1"/>
    <w:qFormat/>
    <w:rPr>
      <w:sz w:val="22"/>
      <w:szCs w:val="22"/>
      <w:lang w:val="ru-RU" w:eastAsia="en-US" w:bidi="ar-SA"/>
    </w:rPr>
  </w:style>
  <w:style w:type="paragraph" w:styleId="2392">
    <w:name w:val="Тема приказа"/>
    <w:basedOn w:val="2304"/>
    <w:next w:val="2392"/>
    <w:link w:val="2393"/>
    <w:qFormat/>
    <w:pPr>
      <w:ind w:right="5385"/>
      <w:jc w:val="both"/>
      <w:widowControl/>
    </w:pPr>
    <w:rPr>
      <w:rFonts w:eastAsia="Calibri"/>
      <w:color w:val="0d0d0d"/>
      <w:sz w:val="24"/>
      <w:szCs w:val="24"/>
      <w:lang w:val="en-US"/>
    </w:rPr>
  </w:style>
  <w:style w:type="character" w:styleId="2393">
    <w:name w:val="Тема приказа Знак"/>
    <w:next w:val="2393"/>
    <w:link w:val="2392"/>
    <w:rPr>
      <w:rFonts w:ascii="Times New Roman" w:hAnsi="Times New Roman" w:eastAsia="Calibri" w:cs="Times New Roman"/>
      <w:color w:val="0d0d0d"/>
      <w:sz w:val="24"/>
      <w:szCs w:val="24"/>
      <w:lang w:val="en-US" w:eastAsia="ru-RU"/>
    </w:rPr>
  </w:style>
  <w:style w:type="character" w:styleId="2394">
    <w:name w:val="Основной текст_"/>
    <w:next w:val="2394"/>
    <w:link w:val="2395"/>
    <w:rPr>
      <w:sz w:val="23"/>
      <w:szCs w:val="23"/>
      <w:shd w:val="clear" w:color="auto" w:fill="ffffff"/>
    </w:rPr>
  </w:style>
  <w:style w:type="paragraph" w:styleId="2395">
    <w:name w:val="Основной текст3"/>
    <w:basedOn w:val="2304"/>
    <w:next w:val="2395"/>
    <w:link w:val="2394"/>
    <w:pPr>
      <w:jc w:val="both"/>
      <w:spacing w:before="300" w:after="300" w:line="0" w:lineRule="atLeast"/>
      <w:shd w:val="clear" w:color="auto" w:fill="ffffff"/>
      <w:widowControl/>
    </w:pPr>
    <w:rPr>
      <w:rFonts w:ascii="Calibri" w:hAnsi="Calibri" w:eastAsia="Calibri" w:cs="Times New Roman"/>
      <w:sz w:val="23"/>
      <w:szCs w:val="23"/>
      <w:lang w:eastAsia="en-US"/>
    </w:rPr>
  </w:style>
  <w:style w:type="table" w:styleId="2396">
    <w:name w:val="Цветной список - Акцент 1"/>
    <w:basedOn w:val="2309"/>
    <w:next w:val="2396"/>
    <w:link w:val="2304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/>
  </w:style>
  <w:style w:type="paragraph" w:styleId="2397">
    <w:name w:val="4"/>
    <w:basedOn w:val="2304"/>
    <w:next w:val="2386"/>
    <w:link w:val="2304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398">
    <w:name w:val="Обычный2"/>
    <w:next w:val="2398"/>
    <w:link w:val="2304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399">
    <w:name w:val="Текст концевой сноски"/>
    <w:basedOn w:val="2304"/>
    <w:next w:val="2399"/>
    <w:link w:val="2400"/>
    <w:uiPriority w:val="99"/>
    <w:semiHidden/>
    <w:unhideWhenUsed/>
    <w:pPr>
      <w:widowControl/>
    </w:pPr>
  </w:style>
  <w:style w:type="character" w:styleId="2400">
    <w:name w:val="Текст концевой сноски Знак"/>
    <w:next w:val="2400"/>
    <w:link w:val="239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401">
    <w:name w:val="Знак концевой сноски"/>
    <w:next w:val="2401"/>
    <w:link w:val="2304"/>
    <w:uiPriority w:val="99"/>
    <w:semiHidden/>
    <w:unhideWhenUsed/>
    <w:rPr>
      <w:vertAlign w:val="superscript"/>
    </w:rPr>
  </w:style>
  <w:style w:type="paragraph" w:styleId="2402">
    <w:name w:val="3"/>
    <w:basedOn w:val="2304"/>
    <w:next w:val="2386"/>
    <w:link w:val="2304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403">
    <w:name w:val="Обычный3"/>
    <w:next w:val="2403"/>
    <w:link w:val="2304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404">
    <w:name w:val="Знак Знак Знак1"/>
    <w:basedOn w:val="2304"/>
    <w:next w:val="2404"/>
    <w:link w:val="2304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2405" w:default="1">
    <w:name w:val="Default Paragraph Font"/>
    <w:uiPriority w:val="1"/>
    <w:semiHidden/>
    <w:unhideWhenUsed/>
  </w:style>
  <w:style w:type="numbering" w:styleId="2406" w:default="1">
    <w:name w:val="No List"/>
    <w:uiPriority w:val="99"/>
    <w:semiHidden/>
    <w:unhideWhenUsed/>
  </w:style>
  <w:style w:type="table" w:styleId="240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pakhomovayn</cp:lastModifiedBy>
  <cp:revision>12</cp:revision>
  <dcterms:created xsi:type="dcterms:W3CDTF">2023-03-02T06:41:00Z</dcterms:created>
  <dcterms:modified xsi:type="dcterms:W3CDTF">2026-06-16T06:14:14Z</dcterms:modified>
  <cp:version>983040</cp:version>
</cp:coreProperties>
</file>